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EA51" w14:textId="097C2B49" w:rsidR="00901AF3" w:rsidRPr="00901AF3" w:rsidRDefault="00901AF3" w:rsidP="00901AF3">
      <w:pPr>
        <w:textAlignment w:val="baseline"/>
        <w:outlineLvl w:val="0"/>
        <w:rPr>
          <w:rFonts w:ascii="Arial" w:eastAsia="Times New Roman" w:hAnsi="Arial" w:cs="Arial"/>
          <w:b/>
          <w:bCs/>
          <w:color w:val="111111"/>
          <w:kern w:val="36"/>
        </w:rPr>
      </w:pPr>
      <w:r>
        <w:rPr>
          <w:rFonts w:ascii="Arial" w:eastAsia="Times New Roman" w:hAnsi="Arial" w:cs="Arial"/>
          <w:b/>
          <w:bCs/>
          <w:color w:val="111111"/>
          <w:kern w:val="36"/>
        </w:rPr>
        <w:t>From the 2022 US Physicians’ Desk Reference   (pdr.net)</w:t>
      </w:r>
      <w:r w:rsidRPr="00901AF3">
        <w:rPr>
          <w:rFonts w:ascii="Arial" w:eastAsia="Times New Roman" w:hAnsi="Arial" w:cs="Arial"/>
          <w:b/>
          <w:bCs/>
          <w:color w:val="111111"/>
          <w:kern w:val="36"/>
        </w:rPr>
        <w:br/>
        <w:t>IMMUNOCAL®</w:t>
      </w:r>
      <w:r w:rsidRPr="00901AF3">
        <w:rPr>
          <w:rFonts w:ascii="Arial" w:eastAsia="Times New Roman" w:hAnsi="Arial" w:cs="Arial"/>
          <w:b/>
          <w:bCs/>
          <w:color w:val="111111"/>
          <w:kern w:val="36"/>
        </w:rPr>
        <w:br/>
        <w:t>Nutraceutical</w:t>
      </w:r>
      <w:r w:rsidRPr="00901AF3">
        <w:rPr>
          <w:rFonts w:ascii="Arial" w:eastAsia="Times New Roman" w:hAnsi="Arial" w:cs="Arial"/>
          <w:b/>
          <w:bCs/>
          <w:color w:val="111111"/>
          <w:kern w:val="36"/>
        </w:rPr>
        <w:br/>
        <w:t>Glutathione precursor (Bonded cysteine™ supplement) </w:t>
      </w:r>
      <w:r w:rsidRPr="00901AF3">
        <w:rPr>
          <w:rFonts w:ascii="Arial" w:eastAsia="Times New Roman" w:hAnsi="Arial" w:cs="Arial"/>
          <w:b/>
          <w:bCs/>
          <w:color w:val="111111"/>
          <w:kern w:val="36"/>
        </w:rPr>
        <w:br/>
        <w:t>Powder Sachets</w:t>
      </w:r>
    </w:p>
    <w:p w14:paraId="2045E125" w14:textId="77777777" w:rsidR="00901AF3" w:rsidRPr="00901AF3" w:rsidRDefault="00901AF3" w:rsidP="00901AF3">
      <w:pPr>
        <w:spacing w:before="480" w:after="225"/>
        <w:textAlignment w:val="baseline"/>
        <w:outlineLvl w:val="0"/>
        <w:rPr>
          <w:rFonts w:ascii="inherit" w:eastAsia="Times New Roman" w:hAnsi="inherit" w:cs="Arial"/>
          <w:b/>
          <w:bCs/>
          <w:color w:val="111111"/>
          <w:kern w:val="36"/>
        </w:rPr>
      </w:pPr>
      <w:bookmarkStart w:id="0" w:name="section01"/>
      <w:bookmarkStart w:id="1" w:name="section05"/>
      <w:bookmarkStart w:id="2" w:name="section-standard-11"/>
      <w:bookmarkStart w:id="3" w:name="section-1"/>
      <w:bookmarkEnd w:id="0"/>
      <w:bookmarkEnd w:id="1"/>
      <w:bookmarkEnd w:id="2"/>
      <w:bookmarkEnd w:id="3"/>
      <w:r w:rsidRPr="00901AF3">
        <w:rPr>
          <w:rFonts w:ascii="inherit" w:eastAsia="Times New Roman" w:hAnsi="inherit" w:cs="Arial"/>
          <w:b/>
          <w:bCs/>
          <w:color w:val="111111"/>
          <w:kern w:val="36"/>
        </w:rPr>
        <w:t>DESCRIPTION and CLINICAL PHARMACOLOGY</w:t>
      </w:r>
    </w:p>
    <w:p w14:paraId="33DB195D"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IMMUNOCAL® is a specially formulated undenatured whey protein isolate. It holds several patents in the USA and worldwide and is listed by the FDA in the category of GRAS (generally recognized as safe). It assists the body in maintaining optimal concentrations of glutathione (GSH) by supplying the precursors required for intracellular glutathione synthesis. It is clinically proven to raise glutathione values.</w:t>
      </w:r>
    </w:p>
    <w:p w14:paraId="7768E537"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Glutathione is a tripeptide made intracellularly from its constituent amino acids L-glutamate, L-</w:t>
      </w:r>
      <w:proofErr w:type="gramStart"/>
      <w:r w:rsidRPr="00901AF3">
        <w:rPr>
          <w:rFonts w:ascii="inherit" w:eastAsia="Times New Roman" w:hAnsi="inherit" w:cs="Arial"/>
          <w:color w:val="707078"/>
        </w:rPr>
        <w:t>cysteine</w:t>
      </w:r>
      <w:proofErr w:type="gramEnd"/>
      <w:r w:rsidRPr="00901AF3">
        <w:rPr>
          <w:rFonts w:ascii="inherit" w:eastAsia="Times New Roman" w:hAnsi="inherit" w:cs="Arial"/>
          <w:color w:val="707078"/>
        </w:rPr>
        <w:t xml:space="preserve"> and glycine. The sulfhydryl (thiol) group (SH) of cysteine is responsible for the biological activity of glutathione. Provision of this amino acid is the rate-limiting factor in glutathione synthesis by the cells since bioavailable cysteine is relatively rare in foodstuffs.</w:t>
      </w:r>
    </w:p>
    <w:p w14:paraId="0E2E666B" w14:textId="77777777" w:rsidR="00901AF3" w:rsidRPr="00901AF3" w:rsidRDefault="00901AF3" w:rsidP="00901AF3">
      <w:pPr>
        <w:spacing w:before="144" w:line="264" w:lineRule="atLeast"/>
        <w:textAlignment w:val="baseline"/>
        <w:rPr>
          <w:rFonts w:ascii="inherit" w:eastAsia="Times New Roman" w:hAnsi="inherit" w:cs="Arial"/>
          <w:color w:val="707078"/>
        </w:rPr>
      </w:pPr>
      <w:proofErr w:type="spellStart"/>
      <w:r w:rsidRPr="00901AF3">
        <w:rPr>
          <w:rFonts w:ascii="inherit" w:eastAsia="Times New Roman" w:hAnsi="inherit" w:cs="Arial"/>
          <w:color w:val="707078"/>
        </w:rPr>
        <w:t>Immunocal</w:t>
      </w:r>
      <w:proofErr w:type="spellEnd"/>
      <w:r w:rsidRPr="00901AF3">
        <w:rPr>
          <w:rFonts w:ascii="inherit" w:eastAsia="Times New Roman" w:hAnsi="inherit" w:cs="Arial"/>
          <w:color w:val="707078"/>
        </w:rPr>
        <w:t xml:space="preserve">® is a bovine whey protein isolate specially prepared </w:t>
      </w:r>
      <w:proofErr w:type="gramStart"/>
      <w:r w:rsidRPr="00901AF3">
        <w:rPr>
          <w:rFonts w:ascii="inherit" w:eastAsia="Times New Roman" w:hAnsi="inherit" w:cs="Arial"/>
          <w:color w:val="707078"/>
        </w:rPr>
        <w:t>so as to</w:t>
      </w:r>
      <w:proofErr w:type="gramEnd"/>
      <w:r w:rsidRPr="00901AF3">
        <w:rPr>
          <w:rFonts w:ascii="inherit" w:eastAsia="Times New Roman" w:hAnsi="inherit" w:cs="Arial"/>
          <w:color w:val="707078"/>
        </w:rPr>
        <w:t xml:space="preserve"> provide a rich source of bioavailable cysteine. </w:t>
      </w:r>
      <w:proofErr w:type="spellStart"/>
      <w:r w:rsidRPr="00901AF3">
        <w:rPr>
          <w:rFonts w:ascii="inherit" w:eastAsia="Times New Roman" w:hAnsi="inherit" w:cs="Arial"/>
          <w:color w:val="707078"/>
        </w:rPr>
        <w:t>Immunocal</w:t>
      </w:r>
      <w:proofErr w:type="spellEnd"/>
      <w:r w:rsidRPr="00901AF3">
        <w:rPr>
          <w:rFonts w:ascii="inherit" w:eastAsia="Times New Roman" w:hAnsi="inherit" w:cs="Arial"/>
          <w:color w:val="707078"/>
        </w:rPr>
        <w:t>® can thus be viewed as a cysteine delivery system.</w:t>
      </w:r>
    </w:p>
    <w:p w14:paraId="251BDF07"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 xml:space="preserve">The </w:t>
      </w:r>
      <w:proofErr w:type="spellStart"/>
      <w:r w:rsidRPr="00901AF3">
        <w:rPr>
          <w:rFonts w:ascii="inherit" w:eastAsia="Times New Roman" w:hAnsi="inherit" w:cs="Arial"/>
          <w:color w:val="707078"/>
        </w:rPr>
        <w:t>disulphide</w:t>
      </w:r>
      <w:proofErr w:type="spellEnd"/>
      <w:r w:rsidRPr="00901AF3">
        <w:rPr>
          <w:rFonts w:ascii="inherit" w:eastAsia="Times New Roman" w:hAnsi="inherit" w:cs="Arial"/>
          <w:color w:val="707078"/>
        </w:rPr>
        <w:t xml:space="preserve"> bond in cystine is pepsin and trypsin resistant but may be split by heat, low pH or mechanical stress releasing free cysteine. When subject to heat or shearing forces (inherent in most extraction processes), the fragile disulfide bonds within the peptides are broken and the </w:t>
      </w:r>
      <w:proofErr w:type="spellStart"/>
      <w:r w:rsidRPr="00901AF3">
        <w:rPr>
          <w:rFonts w:ascii="inherit" w:eastAsia="Times New Roman" w:hAnsi="inherit" w:cs="Arial"/>
          <w:color w:val="707078"/>
        </w:rPr>
        <w:t>bioavailablility</w:t>
      </w:r>
      <w:proofErr w:type="spellEnd"/>
      <w:r w:rsidRPr="00901AF3">
        <w:rPr>
          <w:rFonts w:ascii="inherit" w:eastAsia="Times New Roman" w:hAnsi="inherit" w:cs="Arial"/>
          <w:color w:val="707078"/>
        </w:rPr>
        <w:t xml:space="preserve"> of cysteine is greatly diminished.</w:t>
      </w:r>
    </w:p>
    <w:p w14:paraId="3947E650"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Glutathione is a tightly regulated intracellular constituent and is limited in its production by negative feedback inhibition of its own synthesis through the enzyme gamma-</w:t>
      </w:r>
      <w:proofErr w:type="spellStart"/>
      <w:r w:rsidRPr="00901AF3">
        <w:rPr>
          <w:rFonts w:ascii="inherit" w:eastAsia="Times New Roman" w:hAnsi="inherit" w:cs="Arial"/>
          <w:color w:val="707078"/>
        </w:rPr>
        <w:t>glutamylcysteine</w:t>
      </w:r>
      <w:proofErr w:type="spellEnd"/>
      <w:r w:rsidRPr="00901AF3">
        <w:rPr>
          <w:rFonts w:ascii="inherit" w:eastAsia="Times New Roman" w:hAnsi="inherit" w:cs="Arial"/>
          <w:color w:val="707078"/>
        </w:rPr>
        <w:t xml:space="preserve"> synthetase, thus greatly minimizing any possibility of overdosage.</w:t>
      </w:r>
    </w:p>
    <w:p w14:paraId="165B4B94"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Glutathione has multiple functions:</w:t>
      </w:r>
    </w:p>
    <w:p w14:paraId="476F2F4D" w14:textId="77777777" w:rsidR="00901AF3" w:rsidRPr="00901AF3" w:rsidRDefault="00901AF3" w:rsidP="00901AF3">
      <w:pPr>
        <w:numPr>
          <w:ilvl w:val="0"/>
          <w:numId w:val="1"/>
        </w:numPr>
        <w:spacing w:before="24" w:line="264" w:lineRule="atLeast"/>
        <w:ind w:firstLine="0"/>
        <w:textAlignment w:val="baseline"/>
        <w:rPr>
          <w:rFonts w:ascii="inherit" w:eastAsia="Times New Roman" w:hAnsi="inherit" w:cs="Arial"/>
          <w:color w:val="707078"/>
        </w:rPr>
      </w:pPr>
      <w:r w:rsidRPr="00901AF3">
        <w:rPr>
          <w:rFonts w:ascii="inherit" w:eastAsia="Times New Roman" w:hAnsi="inherit" w:cs="Arial"/>
          <w:color w:val="707078"/>
        </w:rPr>
        <w:t>It is the major endogenous antioxidant produced by the cells, participating directly in the neutralization of free radicals and reactive oxygen compounds, as well as maintaining exogenous antioxidants such as vitamins C and E in their reduced (active) forms.</w:t>
      </w:r>
    </w:p>
    <w:p w14:paraId="0F768234" w14:textId="77777777" w:rsidR="00901AF3" w:rsidRPr="00901AF3" w:rsidRDefault="00901AF3" w:rsidP="00901AF3">
      <w:pPr>
        <w:numPr>
          <w:ilvl w:val="0"/>
          <w:numId w:val="1"/>
        </w:numPr>
        <w:spacing w:before="24" w:line="264" w:lineRule="atLeast"/>
        <w:ind w:firstLine="0"/>
        <w:textAlignment w:val="baseline"/>
        <w:rPr>
          <w:rFonts w:ascii="inherit" w:eastAsia="Times New Roman" w:hAnsi="inherit" w:cs="Arial"/>
          <w:color w:val="707078"/>
        </w:rPr>
      </w:pPr>
      <w:r w:rsidRPr="00901AF3">
        <w:rPr>
          <w:rFonts w:ascii="inherit" w:eastAsia="Times New Roman" w:hAnsi="inherit" w:cs="Arial"/>
          <w:color w:val="707078"/>
        </w:rPr>
        <w:t>Through direct conjugation, it detoxifies many xenobiotics (foreign compounds) and carcinogens, both organic and inorganic.</w:t>
      </w:r>
    </w:p>
    <w:p w14:paraId="506DC793" w14:textId="77777777" w:rsidR="00901AF3" w:rsidRPr="00901AF3" w:rsidRDefault="00901AF3" w:rsidP="00901AF3">
      <w:pPr>
        <w:numPr>
          <w:ilvl w:val="0"/>
          <w:numId w:val="1"/>
        </w:numPr>
        <w:spacing w:before="24" w:line="264" w:lineRule="atLeast"/>
        <w:ind w:firstLine="0"/>
        <w:textAlignment w:val="baseline"/>
        <w:rPr>
          <w:rFonts w:ascii="inherit" w:eastAsia="Times New Roman" w:hAnsi="inherit" w:cs="Arial"/>
          <w:color w:val="707078"/>
        </w:rPr>
      </w:pPr>
      <w:r w:rsidRPr="00901AF3">
        <w:rPr>
          <w:rFonts w:ascii="inherit" w:eastAsia="Times New Roman" w:hAnsi="inherit" w:cs="Arial"/>
          <w:color w:val="707078"/>
        </w:rPr>
        <w:t>It is essential for the immune system to exert its full potential, e.g. (1) modulating antigen presentation to lymphocytes, thereby influencing cytokine production and type of response (cellular or humoral) that develops, (2) enhancing proliferation of lymphocytes thereby increasing magnitude of response, (3) enhancing killing activity of cytotoxic T cells and NK cells, and (4) regulating apoptosis, thereby maintaining control of the immune response.</w:t>
      </w:r>
    </w:p>
    <w:p w14:paraId="1E8E4592" w14:textId="77777777" w:rsidR="00901AF3" w:rsidRPr="00901AF3" w:rsidRDefault="00901AF3" w:rsidP="00901AF3">
      <w:pPr>
        <w:numPr>
          <w:ilvl w:val="0"/>
          <w:numId w:val="1"/>
        </w:numPr>
        <w:spacing w:before="24" w:line="264" w:lineRule="atLeast"/>
        <w:ind w:firstLine="0"/>
        <w:textAlignment w:val="baseline"/>
        <w:rPr>
          <w:rFonts w:ascii="inherit" w:eastAsia="Times New Roman" w:hAnsi="inherit" w:cs="Arial"/>
          <w:color w:val="707078"/>
        </w:rPr>
      </w:pPr>
      <w:r w:rsidRPr="00901AF3">
        <w:rPr>
          <w:rFonts w:ascii="inherit" w:eastAsia="Times New Roman" w:hAnsi="inherit" w:cs="Arial"/>
          <w:color w:val="707078"/>
        </w:rPr>
        <w:lastRenderedPageBreak/>
        <w:t xml:space="preserve">It plays a fundamental role in numerous metabolic and biochemical reactions such as DNA synthesis and repair, protein synthesis, prostaglandin synthesis, amino acid transport and enzyme activation. Thus, most systems in the body can be affected by the state of the glutathione system, especially the immune system, the nervous system, the gastrointestinal </w:t>
      </w:r>
      <w:proofErr w:type="gramStart"/>
      <w:r w:rsidRPr="00901AF3">
        <w:rPr>
          <w:rFonts w:ascii="inherit" w:eastAsia="Times New Roman" w:hAnsi="inherit" w:cs="Arial"/>
          <w:color w:val="707078"/>
        </w:rPr>
        <w:t>system</w:t>
      </w:r>
      <w:proofErr w:type="gramEnd"/>
      <w:r w:rsidRPr="00901AF3">
        <w:rPr>
          <w:rFonts w:ascii="inherit" w:eastAsia="Times New Roman" w:hAnsi="inherit" w:cs="Arial"/>
          <w:color w:val="707078"/>
        </w:rPr>
        <w:t xml:space="preserve"> and the lungs.</w:t>
      </w:r>
    </w:p>
    <w:p w14:paraId="530FAC7B" w14:textId="77777777" w:rsidR="00901AF3" w:rsidRPr="00901AF3" w:rsidRDefault="00901AF3" w:rsidP="00901AF3">
      <w:pPr>
        <w:spacing w:before="480" w:after="225"/>
        <w:textAlignment w:val="baseline"/>
        <w:outlineLvl w:val="0"/>
        <w:rPr>
          <w:rFonts w:ascii="inherit" w:eastAsia="Times New Roman" w:hAnsi="inherit" w:cs="Arial"/>
          <w:b/>
          <w:bCs/>
          <w:color w:val="111111"/>
          <w:kern w:val="36"/>
        </w:rPr>
      </w:pPr>
      <w:bookmarkStart w:id="4" w:name="section10"/>
      <w:bookmarkStart w:id="5" w:name="section-standard-1"/>
      <w:bookmarkStart w:id="6" w:name="section-2"/>
      <w:bookmarkEnd w:id="4"/>
      <w:bookmarkEnd w:id="5"/>
      <w:bookmarkEnd w:id="6"/>
      <w:r w:rsidRPr="00901AF3">
        <w:rPr>
          <w:rFonts w:ascii="inherit" w:eastAsia="Times New Roman" w:hAnsi="inherit" w:cs="Arial"/>
          <w:b/>
          <w:bCs/>
          <w:color w:val="111111"/>
          <w:kern w:val="36"/>
        </w:rPr>
        <w:t>INDICATIONS AND USAGE</w:t>
      </w:r>
    </w:p>
    <w:p w14:paraId="1B58DE9A"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IMMUNOCAL® is a natural food supplement and as such is limited from stating medical claims per se. Statements have not been evaluated by the FDA. As such, this product is thus not intended to diagnose, cure, prevent or treat any disease.</w:t>
      </w:r>
    </w:p>
    <w:p w14:paraId="3B606D59"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 xml:space="preserve">Glutathione augmentation is a strategy developed to address states of glutathione deficiency, high oxidative stress, immune deficiency, and xenobiotic overload in which glutathione plays a part in the detoxification of the xenobiotic in question. Glutathione deficiency states include, but are not limited to: HIV/AIDS, infectious hepatitis, certain types of cancers, cataracts, Alzheimer's Disease, </w:t>
      </w:r>
      <w:proofErr w:type="spellStart"/>
      <w:r w:rsidRPr="00901AF3">
        <w:rPr>
          <w:rFonts w:ascii="inherit" w:eastAsia="Times New Roman" w:hAnsi="inherit" w:cs="Arial"/>
          <w:color w:val="707078"/>
        </w:rPr>
        <w:t>Parkinsons</w:t>
      </w:r>
      <w:proofErr w:type="spellEnd"/>
      <w:r w:rsidRPr="00901AF3">
        <w:rPr>
          <w:rFonts w:ascii="inherit" w:eastAsia="Times New Roman" w:hAnsi="inherit" w:cs="Arial"/>
          <w:color w:val="707078"/>
        </w:rPr>
        <w:t xml:space="preserve">, chronic obstructive pulmonary disease, asthma, radiation, poisoning by </w:t>
      </w:r>
      <w:proofErr w:type="spellStart"/>
      <w:r w:rsidRPr="00901AF3">
        <w:rPr>
          <w:rFonts w:ascii="inherit" w:eastAsia="Times New Roman" w:hAnsi="inherit" w:cs="Arial"/>
          <w:color w:val="707078"/>
        </w:rPr>
        <w:t>acetominophen</w:t>
      </w:r>
      <w:proofErr w:type="spellEnd"/>
      <w:r w:rsidRPr="00901AF3">
        <w:rPr>
          <w:rFonts w:ascii="inherit" w:eastAsia="Times New Roman" w:hAnsi="inherit" w:cs="Arial"/>
          <w:color w:val="707078"/>
        </w:rPr>
        <w:t xml:space="preserve"> and related agents, </w:t>
      </w:r>
      <w:proofErr w:type="spellStart"/>
      <w:r w:rsidRPr="00901AF3">
        <w:rPr>
          <w:rFonts w:ascii="inherit" w:eastAsia="Times New Roman" w:hAnsi="inherit" w:cs="Arial"/>
          <w:color w:val="707078"/>
        </w:rPr>
        <w:t>malnutritive</w:t>
      </w:r>
      <w:proofErr w:type="spellEnd"/>
      <w:r w:rsidRPr="00901AF3">
        <w:rPr>
          <w:rFonts w:ascii="inherit" w:eastAsia="Times New Roman" w:hAnsi="inherit" w:cs="Arial"/>
          <w:color w:val="707078"/>
        </w:rPr>
        <w:t xml:space="preserve"> states, arduous physical stress, aging, and has been associated with sub-optimal immune response. Many clinical pathologies are associated with oxidative stress and are elaborated upon in numerous medical references.</w:t>
      </w:r>
    </w:p>
    <w:p w14:paraId="7D4FBA08"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Low glutathione is also strongly implicated in wasting and negative nitrogen balance, notably as seen in cancer, AIDS, sepsis, trauma, burns and even athletic overtraining. Cysteine supplementation can oppose this process and in AIDS, for example, result in improved survival rates.</w:t>
      </w:r>
    </w:p>
    <w:p w14:paraId="76A0C8C7" w14:textId="77777777" w:rsidR="00901AF3" w:rsidRPr="00901AF3" w:rsidRDefault="00901AF3" w:rsidP="00901AF3">
      <w:pPr>
        <w:spacing w:before="480" w:after="225"/>
        <w:textAlignment w:val="baseline"/>
        <w:outlineLvl w:val="0"/>
        <w:rPr>
          <w:rFonts w:ascii="inherit" w:eastAsia="Times New Roman" w:hAnsi="inherit" w:cs="Arial"/>
          <w:b/>
          <w:bCs/>
          <w:color w:val="111111"/>
          <w:kern w:val="36"/>
        </w:rPr>
      </w:pPr>
      <w:bookmarkStart w:id="7" w:name="section15"/>
      <w:bookmarkStart w:id="8" w:name="section-standard-4"/>
      <w:bookmarkStart w:id="9" w:name="section-3"/>
      <w:bookmarkEnd w:id="7"/>
      <w:bookmarkEnd w:id="8"/>
      <w:bookmarkEnd w:id="9"/>
      <w:r w:rsidRPr="00901AF3">
        <w:rPr>
          <w:rFonts w:ascii="inherit" w:eastAsia="Times New Roman" w:hAnsi="inherit" w:cs="Arial"/>
          <w:b/>
          <w:bCs/>
          <w:color w:val="111111"/>
          <w:kern w:val="36"/>
        </w:rPr>
        <w:t>CONTRAINDICATIONS</w:t>
      </w:r>
    </w:p>
    <w:p w14:paraId="11436E83"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IMMUNOCAL® is contraindicated in individuals who develop or have known hypersensitivity to specific milk proteins.</w:t>
      </w:r>
    </w:p>
    <w:p w14:paraId="62F34093" w14:textId="77777777" w:rsidR="00901AF3" w:rsidRPr="00901AF3" w:rsidRDefault="00901AF3" w:rsidP="00901AF3">
      <w:pPr>
        <w:spacing w:before="480" w:after="225"/>
        <w:textAlignment w:val="baseline"/>
        <w:outlineLvl w:val="0"/>
        <w:rPr>
          <w:rFonts w:ascii="inherit" w:eastAsia="Times New Roman" w:hAnsi="inherit" w:cs="Arial"/>
          <w:b/>
          <w:bCs/>
          <w:color w:val="111111"/>
          <w:kern w:val="36"/>
        </w:rPr>
      </w:pPr>
      <w:bookmarkStart w:id="10" w:name="section20"/>
      <w:bookmarkStart w:id="11" w:name="section-31"/>
      <w:bookmarkEnd w:id="10"/>
      <w:bookmarkEnd w:id="11"/>
      <w:r w:rsidRPr="00901AF3">
        <w:rPr>
          <w:rFonts w:ascii="inherit" w:eastAsia="Times New Roman" w:hAnsi="inherit" w:cs="Arial"/>
          <w:b/>
          <w:bCs/>
          <w:color w:val="111111"/>
          <w:kern w:val="36"/>
        </w:rPr>
        <w:t>PRECAUTIONS</w:t>
      </w:r>
    </w:p>
    <w:p w14:paraId="29012EF4"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Each sachet of IMMUNOCAL® contains nine grams of protein. Patients on a protein-restricted diet need to take this into account when calculating their daily protein load. Although a bovine milk derivative, IMMUNOCAL® contains less than 1% lactose and therefore is generally well tolerated by lactose-intolerant individuals.</w:t>
      </w:r>
    </w:p>
    <w:p w14:paraId="2D732188" w14:textId="77777777" w:rsidR="00901AF3" w:rsidRPr="00901AF3" w:rsidRDefault="00901AF3" w:rsidP="00901AF3">
      <w:pPr>
        <w:spacing w:before="480" w:after="225"/>
        <w:textAlignment w:val="baseline"/>
        <w:outlineLvl w:val="0"/>
        <w:rPr>
          <w:rFonts w:ascii="inherit" w:eastAsia="Times New Roman" w:hAnsi="inherit" w:cs="Arial"/>
          <w:b/>
          <w:bCs/>
          <w:color w:val="111111"/>
          <w:kern w:val="36"/>
        </w:rPr>
      </w:pPr>
      <w:bookmarkStart w:id="12" w:name="section25"/>
      <w:bookmarkStart w:id="13" w:name="section-32"/>
      <w:bookmarkEnd w:id="12"/>
      <w:bookmarkEnd w:id="13"/>
      <w:r w:rsidRPr="00901AF3">
        <w:rPr>
          <w:rFonts w:ascii="inherit" w:eastAsia="Times New Roman" w:hAnsi="inherit" w:cs="Arial"/>
          <w:b/>
          <w:bCs/>
          <w:color w:val="111111"/>
          <w:kern w:val="36"/>
        </w:rPr>
        <w:t>WARNINGS</w:t>
      </w:r>
    </w:p>
    <w:p w14:paraId="34DA1E8C"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Patients undergoing immunosuppressive therapy should discuss the use of this product with their health professional. Individuals with the autosomal-recessive metabolic disorder cystinuria, are at higher risk of developing cysteine nephrolithiasis (1–2% of renal calculi).</w:t>
      </w:r>
    </w:p>
    <w:p w14:paraId="2ED2A6EB" w14:textId="77777777" w:rsidR="00901AF3" w:rsidRPr="00901AF3" w:rsidRDefault="00901AF3" w:rsidP="00901AF3">
      <w:pPr>
        <w:spacing w:before="480" w:after="225"/>
        <w:textAlignment w:val="baseline"/>
        <w:outlineLvl w:val="0"/>
        <w:rPr>
          <w:rFonts w:ascii="inherit" w:eastAsia="Times New Roman" w:hAnsi="inherit" w:cs="Arial"/>
          <w:b/>
          <w:bCs/>
          <w:color w:val="111111"/>
          <w:kern w:val="36"/>
        </w:rPr>
      </w:pPr>
      <w:bookmarkStart w:id="14" w:name="section30"/>
      <w:bookmarkStart w:id="15" w:name="section-standard-6"/>
      <w:bookmarkStart w:id="16" w:name="section-6"/>
      <w:bookmarkEnd w:id="14"/>
      <w:bookmarkEnd w:id="15"/>
      <w:bookmarkEnd w:id="16"/>
      <w:r w:rsidRPr="00901AF3">
        <w:rPr>
          <w:rFonts w:ascii="inherit" w:eastAsia="Times New Roman" w:hAnsi="inherit" w:cs="Arial"/>
          <w:b/>
          <w:bCs/>
          <w:color w:val="111111"/>
          <w:kern w:val="36"/>
        </w:rPr>
        <w:lastRenderedPageBreak/>
        <w:t>ADVERSE REACTIONS</w:t>
      </w:r>
    </w:p>
    <w:p w14:paraId="625A58D7"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Gastrointestinal bloating and cramps if not sufficiently rehydrated. Transient urticarial-like rash in rare individuals undergoing severe detoxification reaction. Rash abates when product intake stopped or reduced.</w:t>
      </w:r>
    </w:p>
    <w:p w14:paraId="3F0F1748" w14:textId="77777777" w:rsidR="00901AF3" w:rsidRPr="00901AF3" w:rsidRDefault="00901AF3" w:rsidP="00901AF3">
      <w:pPr>
        <w:spacing w:before="480" w:after="225"/>
        <w:textAlignment w:val="baseline"/>
        <w:outlineLvl w:val="0"/>
        <w:rPr>
          <w:rFonts w:ascii="inherit" w:eastAsia="Times New Roman" w:hAnsi="inherit" w:cs="Arial"/>
          <w:b/>
          <w:bCs/>
          <w:color w:val="111111"/>
          <w:kern w:val="36"/>
        </w:rPr>
      </w:pPr>
      <w:bookmarkStart w:id="17" w:name="section35"/>
      <w:bookmarkStart w:id="18" w:name="section-standard-10"/>
      <w:bookmarkStart w:id="19" w:name="section-7"/>
      <w:bookmarkEnd w:id="17"/>
      <w:bookmarkEnd w:id="18"/>
      <w:bookmarkEnd w:id="19"/>
      <w:r w:rsidRPr="00901AF3">
        <w:rPr>
          <w:rFonts w:ascii="inherit" w:eastAsia="Times New Roman" w:hAnsi="inherit" w:cs="Arial"/>
          <w:b/>
          <w:bCs/>
          <w:color w:val="111111"/>
          <w:kern w:val="36"/>
        </w:rPr>
        <w:t>OVERDOSAGE</w:t>
      </w:r>
    </w:p>
    <w:p w14:paraId="40FD0391"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Overdosing on IMMUNOCAL® has not been reported.</w:t>
      </w:r>
    </w:p>
    <w:p w14:paraId="457EA66B" w14:textId="77777777" w:rsidR="00901AF3" w:rsidRPr="00901AF3" w:rsidRDefault="00901AF3" w:rsidP="00901AF3">
      <w:pPr>
        <w:spacing w:before="480" w:after="225"/>
        <w:textAlignment w:val="baseline"/>
        <w:outlineLvl w:val="0"/>
        <w:rPr>
          <w:rFonts w:ascii="inherit" w:eastAsia="Times New Roman" w:hAnsi="inherit" w:cs="Arial"/>
          <w:b/>
          <w:bCs/>
          <w:color w:val="111111"/>
          <w:kern w:val="36"/>
        </w:rPr>
      </w:pPr>
      <w:bookmarkStart w:id="20" w:name="section40"/>
      <w:bookmarkStart w:id="21" w:name="section-standard-2"/>
      <w:bookmarkStart w:id="22" w:name="section-8"/>
      <w:bookmarkEnd w:id="20"/>
      <w:bookmarkEnd w:id="21"/>
      <w:bookmarkEnd w:id="22"/>
      <w:r w:rsidRPr="00901AF3">
        <w:rPr>
          <w:rFonts w:ascii="inherit" w:eastAsia="Times New Roman" w:hAnsi="inherit" w:cs="Arial"/>
          <w:b/>
          <w:bCs/>
          <w:color w:val="111111"/>
          <w:kern w:val="36"/>
        </w:rPr>
        <w:t>DOSAGE AND ADMINISTRATION</w:t>
      </w:r>
    </w:p>
    <w:p w14:paraId="26C3416C"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 xml:space="preserve">For mild to moderate health challenges, 20 grams per day is recommended. Clinical trials in patients with AIDS, COPD, </w:t>
      </w:r>
      <w:proofErr w:type="gramStart"/>
      <w:r w:rsidRPr="00901AF3">
        <w:rPr>
          <w:rFonts w:ascii="inherit" w:eastAsia="Times New Roman" w:hAnsi="inherit" w:cs="Arial"/>
          <w:color w:val="707078"/>
        </w:rPr>
        <w:t>cancer</w:t>
      </w:r>
      <w:proofErr w:type="gramEnd"/>
      <w:r w:rsidRPr="00901AF3">
        <w:rPr>
          <w:rFonts w:ascii="inherit" w:eastAsia="Times New Roman" w:hAnsi="inherit" w:cs="Arial"/>
          <w:color w:val="707078"/>
        </w:rPr>
        <w:t xml:space="preserve"> and chronic fatigue syndrome have used 30–40 grams per day without ill effect. IMMUNOCAL® is best administered on an empty stomach or with a light meal. Concomitant intake of another high protein load may adversely affect absorption.</w:t>
      </w:r>
    </w:p>
    <w:p w14:paraId="2BB18AF3" w14:textId="77777777" w:rsidR="00901AF3" w:rsidRPr="00901AF3" w:rsidRDefault="00901AF3" w:rsidP="00901AF3">
      <w:pPr>
        <w:spacing w:before="264"/>
        <w:textAlignment w:val="baseline"/>
        <w:outlineLvl w:val="1"/>
        <w:rPr>
          <w:rFonts w:ascii="inherit" w:eastAsia="Times New Roman" w:hAnsi="inherit" w:cs="Arial"/>
          <w:b/>
          <w:bCs/>
          <w:color w:val="111111"/>
        </w:rPr>
      </w:pPr>
      <w:bookmarkStart w:id="23" w:name="section40sub1-05"/>
      <w:bookmarkStart w:id="24" w:name="section-8.1"/>
      <w:bookmarkEnd w:id="23"/>
      <w:bookmarkEnd w:id="24"/>
      <w:r w:rsidRPr="00901AF3">
        <w:rPr>
          <w:rFonts w:ascii="inherit" w:eastAsia="Times New Roman" w:hAnsi="inherit" w:cs="Arial"/>
          <w:b/>
          <w:bCs/>
          <w:color w:val="111111"/>
        </w:rPr>
        <w:t>RECONSTITUTION</w:t>
      </w:r>
    </w:p>
    <w:p w14:paraId="552C6764"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IMMUNOCAL® is a dehydrated powdered protein isolate. It must be appropriately rehydrated before use. Ideally consumed after mixing. If it is premixed for later consumption, it should be refrigerated and consumed shortly after mixing. DO NOT heat or use a hot liquid to rehydrate the product. DO NOT use a high-speed blender for reconstitution. These methods will decrease the activity of the product.</w:t>
      </w:r>
    </w:p>
    <w:p w14:paraId="23873C60"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Proper mixing is imperative. Consult instructions included in packaging.</w:t>
      </w:r>
    </w:p>
    <w:p w14:paraId="1623E893" w14:textId="77777777" w:rsidR="00901AF3" w:rsidRPr="00901AF3" w:rsidRDefault="00901AF3" w:rsidP="00901AF3">
      <w:pPr>
        <w:spacing w:before="480" w:after="225"/>
        <w:textAlignment w:val="baseline"/>
        <w:outlineLvl w:val="0"/>
        <w:rPr>
          <w:rFonts w:ascii="inherit" w:eastAsia="Times New Roman" w:hAnsi="inherit" w:cs="Arial"/>
          <w:b/>
          <w:bCs/>
          <w:color w:val="111111"/>
          <w:kern w:val="36"/>
        </w:rPr>
      </w:pPr>
      <w:bookmarkStart w:id="25" w:name="section45"/>
      <w:bookmarkStart w:id="26" w:name="section-standard-16"/>
      <w:bookmarkStart w:id="27" w:name="section-9"/>
      <w:bookmarkEnd w:id="25"/>
      <w:bookmarkEnd w:id="26"/>
      <w:bookmarkEnd w:id="27"/>
      <w:r w:rsidRPr="00901AF3">
        <w:rPr>
          <w:rFonts w:ascii="inherit" w:eastAsia="Times New Roman" w:hAnsi="inherit" w:cs="Arial"/>
          <w:b/>
          <w:bCs/>
          <w:color w:val="111111"/>
          <w:kern w:val="36"/>
        </w:rPr>
        <w:t>HOW SUPPLIED</w:t>
      </w:r>
    </w:p>
    <w:p w14:paraId="7A9DFDA1"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10 grams of bovine milk protein isolate powder per sachet.</w:t>
      </w:r>
    </w:p>
    <w:p w14:paraId="1A180C77"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30 sachets per box.</w:t>
      </w:r>
    </w:p>
    <w:p w14:paraId="27A2F830" w14:textId="77777777" w:rsidR="00901AF3" w:rsidRPr="00901AF3" w:rsidRDefault="00901AF3" w:rsidP="00901AF3">
      <w:pPr>
        <w:spacing w:before="264"/>
        <w:textAlignment w:val="baseline"/>
        <w:outlineLvl w:val="1"/>
        <w:rPr>
          <w:rFonts w:ascii="inherit" w:eastAsia="Times New Roman" w:hAnsi="inherit" w:cs="Arial"/>
          <w:b/>
          <w:bCs/>
          <w:color w:val="111111"/>
        </w:rPr>
      </w:pPr>
      <w:bookmarkStart w:id="28" w:name="section45sub1-05"/>
      <w:bookmarkStart w:id="29" w:name="section-9.1"/>
      <w:bookmarkEnd w:id="28"/>
      <w:bookmarkEnd w:id="29"/>
      <w:r w:rsidRPr="00901AF3">
        <w:rPr>
          <w:rFonts w:ascii="inherit" w:eastAsia="Times New Roman" w:hAnsi="inherit" w:cs="Arial"/>
          <w:b/>
          <w:bCs/>
          <w:color w:val="111111"/>
        </w:rPr>
        <w:t>STORAGE</w:t>
      </w:r>
    </w:p>
    <w:p w14:paraId="321823CD" w14:textId="77777777" w:rsidR="00901AF3" w:rsidRPr="00901AF3" w:rsidRDefault="00901AF3" w:rsidP="00901AF3">
      <w:pPr>
        <w:spacing w:before="144" w:line="264" w:lineRule="atLeast"/>
        <w:textAlignment w:val="baseline"/>
        <w:rPr>
          <w:rFonts w:ascii="inherit" w:eastAsia="Times New Roman" w:hAnsi="inherit" w:cs="Arial"/>
          <w:color w:val="707078"/>
        </w:rPr>
      </w:pPr>
      <w:r w:rsidRPr="00901AF3">
        <w:rPr>
          <w:rFonts w:ascii="inherit" w:eastAsia="Times New Roman" w:hAnsi="inherit" w:cs="Arial"/>
          <w:color w:val="707078"/>
        </w:rPr>
        <w:t>Store in a cool dry environment. Refrigeration is not necessary.</w:t>
      </w:r>
    </w:p>
    <w:p w14:paraId="63224B8F" w14:textId="77777777" w:rsidR="00901AF3" w:rsidRPr="00901AF3" w:rsidRDefault="00901AF3" w:rsidP="00901AF3">
      <w:pPr>
        <w:spacing w:before="480" w:after="225"/>
        <w:textAlignment w:val="baseline"/>
        <w:outlineLvl w:val="0"/>
        <w:rPr>
          <w:rFonts w:ascii="inherit" w:eastAsia="Times New Roman" w:hAnsi="inherit" w:cs="Arial"/>
          <w:b/>
          <w:bCs/>
          <w:color w:val="111111"/>
          <w:kern w:val="36"/>
        </w:rPr>
      </w:pPr>
      <w:bookmarkStart w:id="30" w:name="section50"/>
      <w:bookmarkStart w:id="31" w:name="section-standard-15"/>
      <w:bookmarkStart w:id="32" w:name="section-10"/>
      <w:bookmarkEnd w:id="30"/>
      <w:bookmarkEnd w:id="31"/>
      <w:bookmarkEnd w:id="32"/>
      <w:r w:rsidRPr="00901AF3">
        <w:rPr>
          <w:rFonts w:ascii="inherit" w:eastAsia="Times New Roman" w:hAnsi="inherit" w:cs="Arial"/>
          <w:b/>
          <w:bCs/>
          <w:color w:val="111111"/>
          <w:kern w:val="36"/>
        </w:rPr>
        <w:t>REFERENCES</w:t>
      </w:r>
    </w:p>
    <w:p w14:paraId="35B98FDB" w14:textId="77777777" w:rsidR="00901AF3" w:rsidRPr="00901AF3" w:rsidRDefault="00901AF3" w:rsidP="00901AF3">
      <w:pPr>
        <w:numPr>
          <w:ilvl w:val="0"/>
          <w:numId w:val="2"/>
        </w:numPr>
        <w:spacing w:line="264" w:lineRule="atLeast"/>
        <w:ind w:firstLine="0"/>
        <w:textAlignment w:val="baseline"/>
        <w:rPr>
          <w:rFonts w:ascii="inherit" w:eastAsia="Times New Roman" w:hAnsi="inherit" w:cs="Arial"/>
          <w:color w:val="707078"/>
        </w:rPr>
      </w:pPr>
      <w:r w:rsidRPr="00901AF3">
        <w:rPr>
          <w:rFonts w:ascii="inherit" w:eastAsia="Times New Roman" w:hAnsi="inherit" w:cs="Arial"/>
          <w:color w:val="707078"/>
        </w:rPr>
        <w:t xml:space="preserve">Baruchel S, </w:t>
      </w:r>
      <w:proofErr w:type="spellStart"/>
      <w:r w:rsidRPr="00901AF3">
        <w:rPr>
          <w:rFonts w:ascii="inherit" w:eastAsia="Times New Roman" w:hAnsi="inherit" w:cs="Arial"/>
          <w:color w:val="707078"/>
        </w:rPr>
        <w:t>Viau</w:t>
      </w:r>
      <w:proofErr w:type="spellEnd"/>
      <w:r w:rsidRPr="00901AF3">
        <w:rPr>
          <w:rFonts w:ascii="inherit" w:eastAsia="Times New Roman" w:hAnsi="inherit" w:cs="Arial"/>
          <w:color w:val="707078"/>
        </w:rPr>
        <w:t xml:space="preserve"> G, Olivier R. et al. Nutraceutical modulation of glutathione with a humanized native milk serum protein isolate, </w:t>
      </w:r>
      <w:proofErr w:type="spellStart"/>
      <w:r w:rsidRPr="00901AF3">
        <w:rPr>
          <w:rFonts w:ascii="inherit" w:eastAsia="Times New Roman" w:hAnsi="inherit" w:cs="Arial"/>
          <w:color w:val="707078"/>
        </w:rPr>
        <w:t>Immunocal</w:t>
      </w:r>
      <w:proofErr w:type="spellEnd"/>
      <w:r w:rsidRPr="00901AF3">
        <w:rPr>
          <w:rFonts w:ascii="inherit" w:eastAsia="Times New Roman" w:hAnsi="inherit" w:cs="Arial"/>
          <w:color w:val="707078"/>
        </w:rPr>
        <w:t>®: application in AIDS and cancer. </w:t>
      </w:r>
      <w:r w:rsidRPr="00901AF3">
        <w:rPr>
          <w:rFonts w:ascii="inherit" w:eastAsia="Times New Roman" w:hAnsi="inherit" w:cs="Arial"/>
          <w:i/>
          <w:iCs/>
          <w:color w:val="707078"/>
          <w:u w:val="single"/>
          <w:bdr w:val="none" w:sz="0" w:space="0" w:color="auto" w:frame="1"/>
        </w:rPr>
        <w:t>In</w:t>
      </w:r>
      <w:r w:rsidRPr="00901AF3">
        <w:rPr>
          <w:rFonts w:ascii="inherit" w:eastAsia="Times New Roman" w:hAnsi="inherit" w:cs="Arial"/>
          <w:color w:val="707078"/>
        </w:rPr>
        <w:t xml:space="preserve">: Oxidative Stress in Cancer, </w:t>
      </w:r>
      <w:proofErr w:type="gramStart"/>
      <w:r w:rsidRPr="00901AF3">
        <w:rPr>
          <w:rFonts w:ascii="inherit" w:eastAsia="Times New Roman" w:hAnsi="inherit" w:cs="Arial"/>
          <w:color w:val="707078"/>
        </w:rPr>
        <w:t>AIDS</w:t>
      </w:r>
      <w:proofErr w:type="gramEnd"/>
      <w:r w:rsidRPr="00901AF3">
        <w:rPr>
          <w:rFonts w:ascii="inherit" w:eastAsia="Times New Roman" w:hAnsi="inherit" w:cs="Arial"/>
          <w:color w:val="707078"/>
        </w:rPr>
        <w:t xml:space="preserve"> and Neurodegenerative Diseases. Ed.; Montagnier L, Olivier R, </w:t>
      </w:r>
      <w:proofErr w:type="spellStart"/>
      <w:r w:rsidRPr="00901AF3">
        <w:rPr>
          <w:rFonts w:ascii="inherit" w:eastAsia="Times New Roman" w:hAnsi="inherit" w:cs="Arial"/>
          <w:color w:val="707078"/>
        </w:rPr>
        <w:t>Pasquier</w:t>
      </w:r>
      <w:proofErr w:type="spellEnd"/>
      <w:r w:rsidRPr="00901AF3">
        <w:rPr>
          <w:rFonts w:ascii="inherit" w:eastAsia="Times New Roman" w:hAnsi="inherit" w:cs="Arial"/>
          <w:color w:val="707078"/>
        </w:rPr>
        <w:t xml:space="preserve"> C. Marcel Dekker Inc. New York, 447–461, 1998</w:t>
      </w:r>
    </w:p>
    <w:p w14:paraId="2AD09568" w14:textId="77777777" w:rsidR="00901AF3" w:rsidRPr="00901AF3" w:rsidRDefault="00901AF3" w:rsidP="00901AF3">
      <w:pPr>
        <w:numPr>
          <w:ilvl w:val="0"/>
          <w:numId w:val="2"/>
        </w:numPr>
        <w:spacing w:line="264" w:lineRule="atLeast"/>
        <w:ind w:firstLine="0"/>
        <w:textAlignment w:val="baseline"/>
        <w:rPr>
          <w:rFonts w:ascii="inherit" w:eastAsia="Times New Roman" w:hAnsi="inherit" w:cs="Arial"/>
          <w:color w:val="707078"/>
        </w:rPr>
      </w:pPr>
      <w:proofErr w:type="spellStart"/>
      <w:r w:rsidRPr="00901AF3">
        <w:rPr>
          <w:rFonts w:ascii="inherit" w:eastAsia="Times New Roman" w:hAnsi="inherit" w:cs="Arial"/>
          <w:color w:val="707078"/>
        </w:rPr>
        <w:lastRenderedPageBreak/>
        <w:t>Bounous</w:t>
      </w:r>
      <w:proofErr w:type="spellEnd"/>
      <w:r w:rsidRPr="00901AF3">
        <w:rPr>
          <w:rFonts w:ascii="inherit" w:eastAsia="Times New Roman" w:hAnsi="inherit" w:cs="Arial"/>
          <w:color w:val="707078"/>
        </w:rPr>
        <w:t xml:space="preserve"> G, </w:t>
      </w:r>
      <w:proofErr w:type="spellStart"/>
      <w:r w:rsidRPr="00901AF3">
        <w:rPr>
          <w:rFonts w:ascii="inherit" w:eastAsia="Times New Roman" w:hAnsi="inherit" w:cs="Arial"/>
          <w:color w:val="707078"/>
        </w:rPr>
        <w:t>Kongshavn</w:t>
      </w:r>
      <w:proofErr w:type="spellEnd"/>
      <w:r w:rsidRPr="00901AF3">
        <w:rPr>
          <w:rFonts w:ascii="inherit" w:eastAsia="Times New Roman" w:hAnsi="inherit" w:cs="Arial"/>
          <w:color w:val="707078"/>
        </w:rPr>
        <w:t xml:space="preserve"> P. Influence of protein type in nutritionally adequate diets on the development of immunity. </w:t>
      </w:r>
      <w:r w:rsidRPr="00901AF3">
        <w:rPr>
          <w:rFonts w:ascii="inherit" w:eastAsia="Times New Roman" w:hAnsi="inherit" w:cs="Arial"/>
          <w:i/>
          <w:iCs/>
          <w:color w:val="707078"/>
          <w:u w:val="single"/>
          <w:bdr w:val="none" w:sz="0" w:space="0" w:color="auto" w:frame="1"/>
        </w:rPr>
        <w:t>In</w:t>
      </w:r>
      <w:r w:rsidRPr="00901AF3">
        <w:rPr>
          <w:rFonts w:ascii="inherit" w:eastAsia="Times New Roman" w:hAnsi="inherit" w:cs="Arial"/>
          <w:color w:val="707078"/>
        </w:rPr>
        <w:t xml:space="preserve"> Absorption and Utilization of Amino Acids </w:t>
      </w:r>
      <w:proofErr w:type="spellStart"/>
      <w:proofErr w:type="gramStart"/>
      <w:r w:rsidRPr="00901AF3">
        <w:rPr>
          <w:rFonts w:ascii="inherit" w:eastAsia="Times New Roman" w:hAnsi="inherit" w:cs="Arial"/>
          <w:color w:val="707078"/>
        </w:rPr>
        <w:t>Vol.II</w:t>
      </w:r>
      <w:proofErr w:type="spellEnd"/>
      <w:r w:rsidRPr="00901AF3">
        <w:rPr>
          <w:rFonts w:ascii="inherit" w:eastAsia="Times New Roman" w:hAnsi="inherit" w:cs="Arial"/>
          <w:color w:val="707078"/>
        </w:rPr>
        <w:t>.</w:t>
      </w:r>
      <w:proofErr w:type="gramEnd"/>
      <w:r w:rsidRPr="00901AF3">
        <w:rPr>
          <w:rFonts w:ascii="inherit" w:eastAsia="Times New Roman" w:hAnsi="inherit" w:cs="Arial"/>
          <w:color w:val="707078"/>
        </w:rPr>
        <w:t xml:space="preserve"> Ed. M. Friedman. CRC Press, Inc., Fla. 2:219–32, 1989</w:t>
      </w:r>
    </w:p>
    <w:p w14:paraId="1F00903F"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proofErr w:type="spellStart"/>
      <w:r w:rsidRPr="00901AF3">
        <w:rPr>
          <w:rFonts w:ascii="inherit" w:eastAsia="Times New Roman" w:hAnsi="inherit" w:cs="Arial"/>
          <w:color w:val="707078"/>
        </w:rPr>
        <w:t>Bounous</w:t>
      </w:r>
      <w:proofErr w:type="spellEnd"/>
      <w:r w:rsidRPr="00901AF3">
        <w:rPr>
          <w:rFonts w:ascii="inherit" w:eastAsia="Times New Roman" w:hAnsi="inherit" w:cs="Arial"/>
          <w:color w:val="707078"/>
        </w:rPr>
        <w:t xml:space="preserve"> G, Gold P. The biological activity of undenatured whey proteins: role of glutathione. Clin Invest Med 14:296–309, 1991</w:t>
      </w:r>
    </w:p>
    <w:p w14:paraId="73AA9614"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proofErr w:type="spellStart"/>
      <w:r w:rsidRPr="00901AF3">
        <w:rPr>
          <w:rFonts w:ascii="inherit" w:eastAsia="Times New Roman" w:hAnsi="inherit" w:cs="Arial"/>
          <w:color w:val="707078"/>
        </w:rPr>
        <w:t>Bounous</w:t>
      </w:r>
      <w:proofErr w:type="spellEnd"/>
      <w:r w:rsidRPr="00901AF3">
        <w:rPr>
          <w:rFonts w:ascii="inherit" w:eastAsia="Times New Roman" w:hAnsi="inherit" w:cs="Arial"/>
          <w:color w:val="707078"/>
        </w:rPr>
        <w:t xml:space="preserve"> G, Baruchel S, </w:t>
      </w:r>
      <w:proofErr w:type="spellStart"/>
      <w:r w:rsidRPr="00901AF3">
        <w:rPr>
          <w:rFonts w:ascii="inherit" w:eastAsia="Times New Roman" w:hAnsi="inherit" w:cs="Arial"/>
          <w:color w:val="707078"/>
        </w:rPr>
        <w:t>Falutz</w:t>
      </w:r>
      <w:proofErr w:type="spellEnd"/>
      <w:r w:rsidRPr="00901AF3">
        <w:rPr>
          <w:rFonts w:ascii="inherit" w:eastAsia="Times New Roman" w:hAnsi="inherit" w:cs="Arial"/>
          <w:color w:val="707078"/>
        </w:rPr>
        <w:t xml:space="preserve"> J. Gold P. Whey proteins as a food supplement in HIV-seropositive individuals. Clin Invest Med. 16:3; 204–209, 1992</w:t>
      </w:r>
    </w:p>
    <w:p w14:paraId="724C6B42"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proofErr w:type="spellStart"/>
      <w:r w:rsidRPr="00901AF3">
        <w:rPr>
          <w:rFonts w:ascii="inherit" w:eastAsia="Times New Roman" w:hAnsi="inherit" w:cs="Arial"/>
          <w:color w:val="707078"/>
        </w:rPr>
        <w:t>Bounous</w:t>
      </w:r>
      <w:proofErr w:type="spellEnd"/>
      <w:r w:rsidRPr="00901AF3">
        <w:rPr>
          <w:rFonts w:ascii="inherit" w:eastAsia="Times New Roman" w:hAnsi="inherit" w:cs="Arial"/>
          <w:color w:val="707078"/>
        </w:rPr>
        <w:t xml:space="preserve"> G. Whey protein concentrate (WPC) and glutathione modulation in cancer treatment. Anticancer Res. 20:4785–4792, 2000</w:t>
      </w:r>
    </w:p>
    <w:p w14:paraId="78BBB5B0"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proofErr w:type="spellStart"/>
      <w:r w:rsidRPr="00901AF3">
        <w:rPr>
          <w:rFonts w:ascii="inherit" w:eastAsia="Times New Roman" w:hAnsi="inherit" w:cs="Arial"/>
          <w:color w:val="707078"/>
        </w:rPr>
        <w:t>Bounous</w:t>
      </w:r>
      <w:proofErr w:type="spellEnd"/>
      <w:r w:rsidRPr="00901AF3">
        <w:rPr>
          <w:rFonts w:ascii="inherit" w:eastAsia="Times New Roman" w:hAnsi="inherit" w:cs="Arial"/>
          <w:color w:val="707078"/>
        </w:rPr>
        <w:t xml:space="preserve"> G. Immunoenhancing properties of undenatured milk serum protein isolate in HIV patients. Int. Dairy Fed: Whey: 293–305, 1998</w:t>
      </w:r>
    </w:p>
    <w:p w14:paraId="543624BC"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r w:rsidRPr="00901AF3">
        <w:rPr>
          <w:rFonts w:ascii="inherit" w:eastAsia="Times New Roman" w:hAnsi="inherit" w:cs="Arial"/>
          <w:color w:val="707078"/>
        </w:rPr>
        <w:t xml:space="preserve">Bray T, Taylor C. Enhancement of tissue glutathione for antioxidant and immune functions in malnutrition. </w:t>
      </w:r>
      <w:proofErr w:type="spellStart"/>
      <w:r w:rsidRPr="00901AF3">
        <w:rPr>
          <w:rFonts w:ascii="inherit" w:eastAsia="Times New Roman" w:hAnsi="inherit" w:cs="Arial"/>
          <w:color w:val="707078"/>
        </w:rPr>
        <w:t>Biochem</w:t>
      </w:r>
      <w:proofErr w:type="spellEnd"/>
      <w:r w:rsidRPr="00901AF3">
        <w:rPr>
          <w:rFonts w:ascii="inherit" w:eastAsia="Times New Roman" w:hAnsi="inherit" w:cs="Arial"/>
          <w:color w:val="707078"/>
        </w:rPr>
        <w:t xml:space="preserve">. </w:t>
      </w:r>
      <w:proofErr w:type="spellStart"/>
      <w:r w:rsidRPr="00901AF3">
        <w:rPr>
          <w:rFonts w:ascii="inherit" w:eastAsia="Times New Roman" w:hAnsi="inherit" w:cs="Arial"/>
          <w:color w:val="707078"/>
        </w:rPr>
        <w:t>Pharmacol</w:t>
      </w:r>
      <w:proofErr w:type="spellEnd"/>
      <w:r w:rsidRPr="00901AF3">
        <w:rPr>
          <w:rFonts w:ascii="inherit" w:eastAsia="Times New Roman" w:hAnsi="inherit" w:cs="Arial"/>
          <w:color w:val="707078"/>
        </w:rPr>
        <w:t>. 47:2113–2123, 1994.</w:t>
      </w:r>
    </w:p>
    <w:p w14:paraId="3C2C2D9E"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proofErr w:type="spellStart"/>
      <w:r w:rsidRPr="00901AF3">
        <w:rPr>
          <w:rFonts w:ascii="inherit" w:eastAsia="Times New Roman" w:hAnsi="inherit" w:cs="Arial"/>
          <w:color w:val="707078"/>
        </w:rPr>
        <w:t>Droge</w:t>
      </w:r>
      <w:proofErr w:type="spellEnd"/>
      <w:r w:rsidRPr="00901AF3">
        <w:rPr>
          <w:rFonts w:ascii="inherit" w:eastAsia="Times New Roman" w:hAnsi="inherit" w:cs="Arial"/>
          <w:color w:val="707078"/>
        </w:rPr>
        <w:t xml:space="preserve"> W, Holm E. Role of cysteine and glutathione in HIV infection and other diseases associated with muscle wasting and immunological dysfunction. FASEB J: 11(13):1077–1089, 1997</w:t>
      </w:r>
    </w:p>
    <w:p w14:paraId="05DEE0C4"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r w:rsidRPr="00901AF3">
        <w:rPr>
          <w:rFonts w:ascii="inherit" w:eastAsia="Times New Roman" w:hAnsi="inherit" w:cs="Arial"/>
          <w:color w:val="707078"/>
        </w:rPr>
        <w:t xml:space="preserve">Herzenberg LA, De Rosa SC, Dubs JG et al. Glutathione deficiency is associated with impaired survival in HIV disease. Proc Natl </w:t>
      </w:r>
      <w:proofErr w:type="spellStart"/>
      <w:r w:rsidRPr="00901AF3">
        <w:rPr>
          <w:rFonts w:ascii="inherit" w:eastAsia="Times New Roman" w:hAnsi="inherit" w:cs="Arial"/>
          <w:color w:val="707078"/>
        </w:rPr>
        <w:t>Acad</w:t>
      </w:r>
      <w:proofErr w:type="spellEnd"/>
      <w:r w:rsidRPr="00901AF3">
        <w:rPr>
          <w:rFonts w:ascii="inherit" w:eastAsia="Times New Roman" w:hAnsi="inherit" w:cs="Arial"/>
          <w:color w:val="707078"/>
        </w:rPr>
        <w:t xml:space="preserve"> Sci 94:1967–72, 1997</w:t>
      </w:r>
    </w:p>
    <w:p w14:paraId="526174ED"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r w:rsidRPr="00901AF3">
        <w:rPr>
          <w:rFonts w:ascii="inherit" w:eastAsia="Times New Roman" w:hAnsi="inherit" w:cs="Arial"/>
          <w:color w:val="707078"/>
        </w:rPr>
        <w:t xml:space="preserve">Kennedy R, </w:t>
      </w:r>
      <w:proofErr w:type="spellStart"/>
      <w:r w:rsidRPr="00901AF3">
        <w:rPr>
          <w:rFonts w:ascii="inherit" w:eastAsia="Times New Roman" w:hAnsi="inherit" w:cs="Arial"/>
          <w:color w:val="707078"/>
        </w:rPr>
        <w:t>Konok</w:t>
      </w:r>
      <w:proofErr w:type="spellEnd"/>
      <w:r w:rsidRPr="00901AF3">
        <w:rPr>
          <w:rFonts w:ascii="inherit" w:eastAsia="Times New Roman" w:hAnsi="inherit" w:cs="Arial"/>
          <w:color w:val="707078"/>
        </w:rPr>
        <w:t xml:space="preserve"> G, </w:t>
      </w:r>
      <w:proofErr w:type="spellStart"/>
      <w:r w:rsidRPr="00901AF3">
        <w:rPr>
          <w:rFonts w:ascii="inherit" w:eastAsia="Times New Roman" w:hAnsi="inherit" w:cs="Arial"/>
          <w:color w:val="707078"/>
        </w:rPr>
        <w:t>Bounous</w:t>
      </w:r>
      <w:proofErr w:type="spellEnd"/>
      <w:r w:rsidRPr="00901AF3">
        <w:rPr>
          <w:rFonts w:ascii="inherit" w:eastAsia="Times New Roman" w:hAnsi="inherit" w:cs="Arial"/>
          <w:color w:val="707078"/>
        </w:rPr>
        <w:t xml:space="preserve"> G </w:t>
      </w:r>
      <w:proofErr w:type="gramStart"/>
      <w:r w:rsidRPr="00901AF3">
        <w:rPr>
          <w:rFonts w:ascii="inherit" w:eastAsia="Times New Roman" w:hAnsi="inherit" w:cs="Arial"/>
          <w:color w:val="707078"/>
        </w:rPr>
        <w:t>et al..</w:t>
      </w:r>
      <w:proofErr w:type="gramEnd"/>
      <w:r w:rsidRPr="00901AF3">
        <w:rPr>
          <w:rFonts w:ascii="inherit" w:eastAsia="Times New Roman" w:hAnsi="inherit" w:cs="Arial"/>
          <w:color w:val="707078"/>
        </w:rPr>
        <w:t xml:space="preserve"> The use of a whey protein </w:t>
      </w:r>
      <w:proofErr w:type="gramStart"/>
      <w:r w:rsidRPr="00901AF3">
        <w:rPr>
          <w:rFonts w:ascii="inherit" w:eastAsia="Times New Roman" w:hAnsi="inherit" w:cs="Arial"/>
          <w:color w:val="707078"/>
        </w:rPr>
        <w:t>concentrate</w:t>
      </w:r>
      <w:proofErr w:type="gramEnd"/>
      <w:r w:rsidRPr="00901AF3">
        <w:rPr>
          <w:rFonts w:ascii="inherit" w:eastAsia="Times New Roman" w:hAnsi="inherit" w:cs="Arial"/>
          <w:color w:val="707078"/>
        </w:rPr>
        <w:t xml:space="preserve"> in the treatment of patients with metastatic carcinoma: A phase 1-II clinical study. Anticancer Res. 15:2643–50, 1995</w:t>
      </w:r>
    </w:p>
    <w:p w14:paraId="7FCF8B00"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r w:rsidRPr="00901AF3">
        <w:rPr>
          <w:rFonts w:ascii="inherit" w:eastAsia="Times New Roman" w:hAnsi="inherit" w:cs="Arial"/>
          <w:color w:val="707078"/>
        </w:rPr>
        <w:t xml:space="preserve">Lands LC, Grey VL, </w:t>
      </w:r>
      <w:proofErr w:type="spellStart"/>
      <w:r w:rsidRPr="00901AF3">
        <w:rPr>
          <w:rFonts w:ascii="inherit" w:eastAsia="Times New Roman" w:hAnsi="inherit" w:cs="Arial"/>
          <w:color w:val="707078"/>
        </w:rPr>
        <w:t>Smountas</w:t>
      </w:r>
      <w:proofErr w:type="spellEnd"/>
      <w:r w:rsidRPr="00901AF3">
        <w:rPr>
          <w:rFonts w:ascii="inherit" w:eastAsia="Times New Roman" w:hAnsi="inherit" w:cs="Arial"/>
          <w:color w:val="707078"/>
        </w:rPr>
        <w:t xml:space="preserve"> AA. Effect of supplementation with a cysteine donor on muscular performance. J. Appl. Physiol. 87:1381–1385, 1999</w:t>
      </w:r>
    </w:p>
    <w:p w14:paraId="58147636"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proofErr w:type="spellStart"/>
      <w:r w:rsidRPr="00901AF3">
        <w:rPr>
          <w:rFonts w:ascii="inherit" w:eastAsia="Times New Roman" w:hAnsi="inherit" w:cs="Arial"/>
          <w:color w:val="707078"/>
        </w:rPr>
        <w:t>Locigno</w:t>
      </w:r>
      <w:proofErr w:type="spellEnd"/>
      <w:r w:rsidRPr="00901AF3">
        <w:rPr>
          <w:rFonts w:ascii="inherit" w:eastAsia="Times New Roman" w:hAnsi="inherit" w:cs="Arial"/>
          <w:color w:val="707078"/>
        </w:rPr>
        <w:t xml:space="preserve"> R, </w:t>
      </w:r>
      <w:proofErr w:type="spellStart"/>
      <w:r w:rsidRPr="00901AF3">
        <w:rPr>
          <w:rFonts w:ascii="inherit" w:eastAsia="Times New Roman" w:hAnsi="inherit" w:cs="Arial"/>
          <w:color w:val="707078"/>
        </w:rPr>
        <w:t>Castronovo</w:t>
      </w:r>
      <w:proofErr w:type="spellEnd"/>
      <w:r w:rsidRPr="00901AF3">
        <w:rPr>
          <w:rFonts w:ascii="inherit" w:eastAsia="Times New Roman" w:hAnsi="inherit" w:cs="Arial"/>
          <w:color w:val="707078"/>
        </w:rPr>
        <w:t xml:space="preserve"> V. Reduced glutathione System: Role in cancer development, </w:t>
      </w:r>
      <w:proofErr w:type="gramStart"/>
      <w:r w:rsidRPr="00901AF3">
        <w:rPr>
          <w:rFonts w:ascii="inherit" w:eastAsia="Times New Roman" w:hAnsi="inherit" w:cs="Arial"/>
          <w:color w:val="707078"/>
        </w:rPr>
        <w:t>prevention</w:t>
      </w:r>
      <w:proofErr w:type="gramEnd"/>
      <w:r w:rsidRPr="00901AF3">
        <w:rPr>
          <w:rFonts w:ascii="inherit" w:eastAsia="Times New Roman" w:hAnsi="inherit" w:cs="Arial"/>
          <w:color w:val="707078"/>
        </w:rPr>
        <w:t xml:space="preserve"> and treatment. International Journal of Oncology 19:221–236, 2001</w:t>
      </w:r>
    </w:p>
    <w:p w14:paraId="2407CF29"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proofErr w:type="spellStart"/>
      <w:r w:rsidRPr="00901AF3">
        <w:rPr>
          <w:rFonts w:ascii="inherit" w:eastAsia="Times New Roman" w:hAnsi="inherit" w:cs="Arial"/>
          <w:color w:val="707078"/>
        </w:rPr>
        <w:t>Lomaestro</w:t>
      </w:r>
      <w:proofErr w:type="spellEnd"/>
      <w:r w:rsidRPr="00901AF3">
        <w:rPr>
          <w:rFonts w:ascii="inherit" w:eastAsia="Times New Roman" w:hAnsi="inherit" w:cs="Arial"/>
          <w:color w:val="707078"/>
        </w:rPr>
        <w:t xml:space="preserve"> B, Malone M. Glutathione in health and disease: pharmacotherapeutic issues. Ann </w:t>
      </w:r>
      <w:proofErr w:type="spellStart"/>
      <w:r w:rsidRPr="00901AF3">
        <w:rPr>
          <w:rFonts w:ascii="inherit" w:eastAsia="Times New Roman" w:hAnsi="inherit" w:cs="Arial"/>
          <w:color w:val="707078"/>
        </w:rPr>
        <w:t>Pharmacother</w:t>
      </w:r>
      <w:proofErr w:type="spellEnd"/>
      <w:r w:rsidRPr="00901AF3">
        <w:rPr>
          <w:rFonts w:ascii="inherit" w:eastAsia="Times New Roman" w:hAnsi="inherit" w:cs="Arial"/>
          <w:color w:val="707078"/>
        </w:rPr>
        <w:t xml:space="preserve"> 29: 1263–73, 1995</w:t>
      </w:r>
    </w:p>
    <w:p w14:paraId="5AA30DB1"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r w:rsidRPr="00901AF3">
        <w:rPr>
          <w:rFonts w:ascii="inherit" w:eastAsia="Times New Roman" w:hAnsi="inherit" w:cs="Arial"/>
          <w:color w:val="707078"/>
        </w:rPr>
        <w:t xml:space="preserve">Lothian B, Grey V, </w:t>
      </w:r>
      <w:proofErr w:type="spellStart"/>
      <w:r w:rsidRPr="00901AF3">
        <w:rPr>
          <w:rFonts w:ascii="inherit" w:eastAsia="Times New Roman" w:hAnsi="inherit" w:cs="Arial"/>
          <w:color w:val="707078"/>
        </w:rPr>
        <w:t>Kimoff</w:t>
      </w:r>
      <w:proofErr w:type="spellEnd"/>
      <w:r w:rsidRPr="00901AF3">
        <w:rPr>
          <w:rFonts w:ascii="inherit" w:eastAsia="Times New Roman" w:hAnsi="inherit" w:cs="Arial"/>
          <w:color w:val="707078"/>
        </w:rPr>
        <w:t xml:space="preserve"> RJ, Lands. Treatment of obstructive airway disease with a cysteine donor protein supplement: a case report. Chest 117:914–916, 2000</w:t>
      </w:r>
    </w:p>
    <w:p w14:paraId="3C51292D"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r w:rsidRPr="00901AF3">
        <w:rPr>
          <w:rFonts w:ascii="inherit" w:eastAsia="Times New Roman" w:hAnsi="inherit" w:cs="Arial"/>
          <w:color w:val="707078"/>
        </w:rPr>
        <w:t xml:space="preserve">Meister A. Glutathione. Ann Rev </w:t>
      </w:r>
      <w:proofErr w:type="spellStart"/>
      <w:r w:rsidRPr="00901AF3">
        <w:rPr>
          <w:rFonts w:ascii="inherit" w:eastAsia="Times New Roman" w:hAnsi="inherit" w:cs="Arial"/>
          <w:color w:val="707078"/>
        </w:rPr>
        <w:t>Biochem</w:t>
      </w:r>
      <w:proofErr w:type="spellEnd"/>
      <w:r w:rsidRPr="00901AF3">
        <w:rPr>
          <w:rFonts w:ascii="inherit" w:eastAsia="Times New Roman" w:hAnsi="inherit" w:cs="Arial"/>
          <w:color w:val="707078"/>
        </w:rPr>
        <w:t xml:space="preserve"> 52:711–60, 1983</w:t>
      </w:r>
    </w:p>
    <w:p w14:paraId="10A57014"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r w:rsidRPr="00901AF3">
        <w:rPr>
          <w:rFonts w:ascii="inherit" w:eastAsia="Times New Roman" w:hAnsi="inherit" w:cs="Arial"/>
          <w:color w:val="707078"/>
        </w:rPr>
        <w:t xml:space="preserve">Peterson JD, Herzenberg LA, Vasquez KK, </w:t>
      </w:r>
      <w:proofErr w:type="spellStart"/>
      <w:r w:rsidRPr="00901AF3">
        <w:rPr>
          <w:rFonts w:ascii="inherit" w:eastAsia="Times New Roman" w:hAnsi="inherit" w:cs="Arial"/>
          <w:color w:val="707078"/>
        </w:rPr>
        <w:t>Waltenbaugh</w:t>
      </w:r>
      <w:proofErr w:type="spellEnd"/>
      <w:r w:rsidRPr="00901AF3">
        <w:rPr>
          <w:rFonts w:ascii="inherit" w:eastAsia="Times New Roman" w:hAnsi="inherit" w:cs="Arial"/>
          <w:color w:val="707078"/>
        </w:rPr>
        <w:t xml:space="preserve"> C. Glutathione levels in antigen-presenting cells modulate Th1 versus Th2 response patterns. Proc. Natl. Acad. Sci. 95:3071–3076, 1998</w:t>
      </w:r>
    </w:p>
    <w:p w14:paraId="35C962BE"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r w:rsidRPr="00901AF3">
        <w:rPr>
          <w:rFonts w:ascii="inherit" w:eastAsia="Times New Roman" w:hAnsi="inherit" w:cs="Arial"/>
          <w:color w:val="707078"/>
        </w:rPr>
        <w:t xml:space="preserve">Tozer RG, Tai P, Falconer W, </w:t>
      </w:r>
      <w:proofErr w:type="spellStart"/>
      <w:r w:rsidRPr="00901AF3">
        <w:rPr>
          <w:rFonts w:ascii="inherit" w:eastAsia="Times New Roman" w:hAnsi="inherit" w:cs="Arial"/>
          <w:color w:val="707078"/>
        </w:rPr>
        <w:t>Ducruet</w:t>
      </w:r>
      <w:proofErr w:type="spellEnd"/>
      <w:r w:rsidRPr="00901AF3">
        <w:rPr>
          <w:rFonts w:ascii="inherit" w:eastAsia="Times New Roman" w:hAnsi="inherit" w:cs="Arial"/>
          <w:color w:val="707078"/>
        </w:rPr>
        <w:t xml:space="preserve"> T, </w:t>
      </w:r>
      <w:proofErr w:type="spellStart"/>
      <w:r w:rsidRPr="00901AF3">
        <w:rPr>
          <w:rFonts w:ascii="inherit" w:eastAsia="Times New Roman" w:hAnsi="inherit" w:cs="Arial"/>
          <w:color w:val="707078"/>
        </w:rPr>
        <w:t>Karabadjian</w:t>
      </w:r>
      <w:proofErr w:type="spellEnd"/>
      <w:r w:rsidRPr="00901AF3">
        <w:rPr>
          <w:rFonts w:ascii="inherit" w:eastAsia="Times New Roman" w:hAnsi="inherit" w:cs="Arial"/>
          <w:color w:val="707078"/>
        </w:rPr>
        <w:t xml:space="preserve"> A, </w:t>
      </w:r>
      <w:proofErr w:type="spellStart"/>
      <w:r w:rsidRPr="00901AF3">
        <w:rPr>
          <w:rFonts w:ascii="inherit" w:eastAsia="Times New Roman" w:hAnsi="inherit" w:cs="Arial"/>
          <w:color w:val="707078"/>
        </w:rPr>
        <w:t>Bounous</w:t>
      </w:r>
      <w:proofErr w:type="spellEnd"/>
      <w:r w:rsidRPr="00901AF3">
        <w:rPr>
          <w:rFonts w:ascii="inherit" w:eastAsia="Times New Roman" w:hAnsi="inherit" w:cs="Arial"/>
          <w:color w:val="707078"/>
        </w:rPr>
        <w:t xml:space="preserve"> G, Molson J, </w:t>
      </w:r>
      <w:proofErr w:type="spellStart"/>
      <w:r w:rsidRPr="00901AF3">
        <w:rPr>
          <w:rFonts w:ascii="inherit" w:eastAsia="Times New Roman" w:hAnsi="inherit" w:cs="Arial"/>
          <w:color w:val="707078"/>
        </w:rPr>
        <w:t>Dröge</w:t>
      </w:r>
      <w:proofErr w:type="spellEnd"/>
      <w:r w:rsidRPr="00901AF3">
        <w:rPr>
          <w:rFonts w:ascii="inherit" w:eastAsia="Times New Roman" w:hAnsi="inherit" w:cs="Arial"/>
          <w:color w:val="707078"/>
        </w:rPr>
        <w:t xml:space="preserve"> W. Cysteine-rich protein reverses weight loss in lung cancer patients receiving chemotherapy or radiotherapy. Antioxidants &amp; redox </w:t>
      </w:r>
      <w:proofErr w:type="spellStart"/>
      <w:r w:rsidRPr="00901AF3">
        <w:rPr>
          <w:rFonts w:ascii="inherit" w:eastAsia="Times New Roman" w:hAnsi="inherit" w:cs="Arial"/>
          <w:color w:val="707078"/>
        </w:rPr>
        <w:t>signalling</w:t>
      </w:r>
      <w:proofErr w:type="spellEnd"/>
      <w:r w:rsidRPr="00901AF3">
        <w:rPr>
          <w:rFonts w:ascii="inherit" w:eastAsia="Times New Roman" w:hAnsi="inherit" w:cs="Arial"/>
          <w:color w:val="707078"/>
        </w:rPr>
        <w:t>. 10: 395–402, 2008.</w:t>
      </w:r>
    </w:p>
    <w:p w14:paraId="09DDE4B3"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r w:rsidRPr="00901AF3">
        <w:rPr>
          <w:rFonts w:ascii="inherit" w:eastAsia="Times New Roman" w:hAnsi="inherit" w:cs="Arial"/>
          <w:color w:val="707078"/>
        </w:rPr>
        <w:t xml:space="preserve">Watanabe A, </w:t>
      </w:r>
      <w:proofErr w:type="spellStart"/>
      <w:r w:rsidRPr="00901AF3">
        <w:rPr>
          <w:rFonts w:ascii="inherit" w:eastAsia="Times New Roman" w:hAnsi="inherit" w:cs="Arial"/>
          <w:color w:val="707078"/>
        </w:rPr>
        <w:t>Higachi</w:t>
      </w:r>
      <w:proofErr w:type="spellEnd"/>
      <w:r w:rsidRPr="00901AF3">
        <w:rPr>
          <w:rFonts w:ascii="inherit" w:eastAsia="Times New Roman" w:hAnsi="inherit" w:cs="Arial"/>
          <w:color w:val="707078"/>
        </w:rPr>
        <w:t xml:space="preserve"> K, </w:t>
      </w:r>
      <w:proofErr w:type="spellStart"/>
      <w:r w:rsidRPr="00901AF3">
        <w:rPr>
          <w:rFonts w:ascii="inherit" w:eastAsia="Times New Roman" w:hAnsi="inherit" w:cs="Arial"/>
          <w:color w:val="707078"/>
        </w:rPr>
        <w:t>Yasumura</w:t>
      </w:r>
      <w:proofErr w:type="spellEnd"/>
      <w:r w:rsidRPr="00901AF3">
        <w:rPr>
          <w:rFonts w:ascii="inherit" w:eastAsia="Times New Roman" w:hAnsi="inherit" w:cs="Arial"/>
          <w:color w:val="707078"/>
        </w:rPr>
        <w:t xml:space="preserve"> S. et al. Nutritional modulation of glutathione level and cellular immunity in chronic hepatitis B and C. Hepatology. 24:597A, 1996</w:t>
      </w:r>
    </w:p>
    <w:p w14:paraId="209B5A0E" w14:textId="77777777" w:rsidR="00901AF3" w:rsidRPr="00901AF3" w:rsidRDefault="00901AF3" w:rsidP="00901AF3">
      <w:pPr>
        <w:numPr>
          <w:ilvl w:val="0"/>
          <w:numId w:val="2"/>
        </w:numPr>
        <w:spacing w:before="24" w:line="264" w:lineRule="atLeast"/>
        <w:ind w:firstLine="0"/>
        <w:textAlignment w:val="baseline"/>
        <w:rPr>
          <w:rFonts w:ascii="inherit" w:eastAsia="Times New Roman" w:hAnsi="inherit" w:cs="Arial"/>
          <w:color w:val="707078"/>
        </w:rPr>
      </w:pPr>
      <w:proofErr w:type="spellStart"/>
      <w:r w:rsidRPr="00901AF3">
        <w:rPr>
          <w:rFonts w:ascii="inherit" w:eastAsia="Times New Roman" w:hAnsi="inherit" w:cs="Arial"/>
          <w:color w:val="707078"/>
        </w:rPr>
        <w:t>Witschi</w:t>
      </w:r>
      <w:proofErr w:type="spellEnd"/>
      <w:r w:rsidRPr="00901AF3">
        <w:rPr>
          <w:rFonts w:ascii="inherit" w:eastAsia="Times New Roman" w:hAnsi="inherit" w:cs="Arial"/>
          <w:color w:val="707078"/>
        </w:rPr>
        <w:t xml:space="preserve"> A, Reddy S, </w:t>
      </w:r>
      <w:proofErr w:type="spellStart"/>
      <w:r w:rsidRPr="00901AF3">
        <w:rPr>
          <w:rFonts w:ascii="inherit" w:eastAsia="Times New Roman" w:hAnsi="inherit" w:cs="Arial"/>
          <w:color w:val="707078"/>
        </w:rPr>
        <w:t>Stofer</w:t>
      </w:r>
      <w:proofErr w:type="spellEnd"/>
      <w:r w:rsidRPr="00901AF3">
        <w:rPr>
          <w:rFonts w:ascii="inherit" w:eastAsia="Times New Roman" w:hAnsi="inherit" w:cs="Arial"/>
          <w:color w:val="707078"/>
        </w:rPr>
        <w:t xml:space="preserve"> B, </w:t>
      </w:r>
      <w:proofErr w:type="spellStart"/>
      <w:r w:rsidRPr="00901AF3">
        <w:rPr>
          <w:rFonts w:ascii="inherit" w:eastAsia="Times New Roman" w:hAnsi="inherit" w:cs="Arial"/>
          <w:color w:val="707078"/>
        </w:rPr>
        <w:t>Lauterberg</w:t>
      </w:r>
      <w:proofErr w:type="spellEnd"/>
      <w:r w:rsidRPr="00901AF3">
        <w:rPr>
          <w:rFonts w:ascii="inherit" w:eastAsia="Times New Roman" w:hAnsi="inherit" w:cs="Arial"/>
          <w:color w:val="707078"/>
        </w:rPr>
        <w:t xml:space="preserve"> B. The systemic availability of oral glutathione. Eur. J. Clin. </w:t>
      </w:r>
      <w:proofErr w:type="spellStart"/>
      <w:r w:rsidRPr="00901AF3">
        <w:rPr>
          <w:rFonts w:ascii="inherit" w:eastAsia="Times New Roman" w:hAnsi="inherit" w:cs="Arial"/>
          <w:color w:val="707078"/>
        </w:rPr>
        <w:t>Pharmacol</w:t>
      </w:r>
      <w:proofErr w:type="spellEnd"/>
      <w:r w:rsidRPr="00901AF3">
        <w:rPr>
          <w:rFonts w:ascii="inherit" w:eastAsia="Times New Roman" w:hAnsi="inherit" w:cs="Arial"/>
          <w:color w:val="707078"/>
        </w:rPr>
        <w:t>. 43:667–669, 1992.</w:t>
      </w:r>
    </w:p>
    <w:p w14:paraId="02DA9951" w14:textId="77777777" w:rsidR="00901AF3" w:rsidRPr="00901AF3" w:rsidRDefault="00901AF3" w:rsidP="00901AF3">
      <w:pPr>
        <w:numPr>
          <w:ilvl w:val="0"/>
          <w:numId w:val="2"/>
        </w:numPr>
        <w:spacing w:before="24"/>
        <w:textAlignment w:val="baseline"/>
        <w:rPr>
          <w:rFonts w:ascii="inherit" w:eastAsia="Times New Roman" w:hAnsi="inherit" w:cs="Arial"/>
          <w:color w:val="707078"/>
        </w:rPr>
      </w:pPr>
      <w:r w:rsidRPr="00901AF3">
        <w:rPr>
          <w:rFonts w:ascii="inherit" w:eastAsia="Times New Roman" w:hAnsi="inherit" w:cs="Arial"/>
          <w:color w:val="707078"/>
        </w:rPr>
        <w:lastRenderedPageBreak/>
        <w:t xml:space="preserve">Grey V, Mohammed SR, </w:t>
      </w:r>
      <w:proofErr w:type="spellStart"/>
      <w:r w:rsidRPr="00901AF3">
        <w:rPr>
          <w:rFonts w:ascii="inherit" w:eastAsia="Times New Roman" w:hAnsi="inherit" w:cs="Arial"/>
          <w:color w:val="707078"/>
        </w:rPr>
        <w:t>Smountas</w:t>
      </w:r>
      <w:proofErr w:type="spellEnd"/>
      <w:r w:rsidRPr="00901AF3">
        <w:rPr>
          <w:rFonts w:ascii="inherit" w:eastAsia="Times New Roman" w:hAnsi="inherit" w:cs="Arial"/>
          <w:color w:val="707078"/>
        </w:rPr>
        <w:t xml:space="preserve"> AA, </w:t>
      </w:r>
      <w:proofErr w:type="spellStart"/>
      <w:r w:rsidRPr="00901AF3">
        <w:rPr>
          <w:rFonts w:ascii="inherit" w:eastAsia="Times New Roman" w:hAnsi="inherit" w:cs="Arial"/>
          <w:color w:val="707078"/>
        </w:rPr>
        <w:t>Bahlool</w:t>
      </w:r>
      <w:proofErr w:type="spellEnd"/>
      <w:r w:rsidRPr="00901AF3">
        <w:rPr>
          <w:rFonts w:ascii="inherit" w:eastAsia="Times New Roman" w:hAnsi="inherit" w:cs="Arial"/>
          <w:color w:val="707078"/>
        </w:rPr>
        <w:t xml:space="preserve"> R, Lands LC. Improved glutathione status in young adult patients with cystic fibrosis supplemented with whey protein. J Cyst </w:t>
      </w:r>
      <w:proofErr w:type="spellStart"/>
      <w:r w:rsidRPr="00901AF3">
        <w:rPr>
          <w:rFonts w:ascii="inherit" w:eastAsia="Times New Roman" w:hAnsi="inherit" w:cs="Arial"/>
          <w:color w:val="707078"/>
        </w:rPr>
        <w:t>Fibros</w:t>
      </w:r>
      <w:proofErr w:type="spellEnd"/>
      <w:r w:rsidRPr="00901AF3">
        <w:rPr>
          <w:rFonts w:ascii="inherit" w:eastAsia="Times New Roman" w:hAnsi="inherit" w:cs="Arial"/>
          <w:color w:val="707078"/>
        </w:rPr>
        <w:t>. 2(4):195-8, Dec 2003.</w:t>
      </w:r>
    </w:p>
    <w:p w14:paraId="17385DD1" w14:textId="77777777" w:rsidR="00901AF3" w:rsidRPr="00901AF3" w:rsidRDefault="00901AF3" w:rsidP="00901AF3">
      <w:pPr>
        <w:numPr>
          <w:ilvl w:val="0"/>
          <w:numId w:val="2"/>
        </w:numPr>
        <w:spacing w:before="24"/>
        <w:textAlignment w:val="baseline"/>
        <w:rPr>
          <w:rFonts w:ascii="inherit" w:eastAsia="Times New Roman" w:hAnsi="inherit" w:cs="Arial"/>
          <w:color w:val="707078"/>
        </w:rPr>
      </w:pPr>
      <w:r w:rsidRPr="00901AF3">
        <w:rPr>
          <w:rFonts w:ascii="inherit" w:eastAsia="Times New Roman" w:hAnsi="inherit" w:cs="Arial"/>
          <w:color w:val="707078"/>
        </w:rPr>
        <w:t xml:space="preserve">Baumann JM, </w:t>
      </w:r>
      <w:proofErr w:type="spellStart"/>
      <w:r w:rsidRPr="00901AF3">
        <w:rPr>
          <w:rFonts w:ascii="inherit" w:eastAsia="Times New Roman" w:hAnsi="inherit" w:cs="Arial"/>
          <w:color w:val="707078"/>
        </w:rPr>
        <w:t>Rundell</w:t>
      </w:r>
      <w:proofErr w:type="spellEnd"/>
      <w:r w:rsidRPr="00901AF3">
        <w:rPr>
          <w:rFonts w:ascii="inherit" w:eastAsia="Times New Roman" w:hAnsi="inherit" w:cs="Arial"/>
          <w:color w:val="707078"/>
        </w:rPr>
        <w:t xml:space="preserve"> KW, Evans TM, Levine AM. Effects of cysteine donor supplementation on exercise-induced bronchoconstriction. Med Sci Sports </w:t>
      </w:r>
      <w:proofErr w:type="spellStart"/>
      <w:r w:rsidRPr="00901AF3">
        <w:rPr>
          <w:rFonts w:ascii="inherit" w:eastAsia="Times New Roman" w:hAnsi="inherit" w:cs="Arial"/>
          <w:color w:val="707078"/>
        </w:rPr>
        <w:t>Exerc</w:t>
      </w:r>
      <w:proofErr w:type="spellEnd"/>
      <w:r w:rsidRPr="00901AF3">
        <w:rPr>
          <w:rFonts w:ascii="inherit" w:eastAsia="Times New Roman" w:hAnsi="inherit" w:cs="Arial"/>
          <w:color w:val="707078"/>
        </w:rPr>
        <w:t>. 37(9):1468-73, Sep 2005.</w:t>
      </w:r>
    </w:p>
    <w:p w14:paraId="6873E6E7" w14:textId="77777777" w:rsidR="00901AF3" w:rsidRPr="00901AF3" w:rsidRDefault="00901AF3" w:rsidP="00901AF3">
      <w:pPr>
        <w:numPr>
          <w:ilvl w:val="0"/>
          <w:numId w:val="2"/>
        </w:numPr>
        <w:spacing w:before="24"/>
        <w:textAlignment w:val="baseline"/>
        <w:rPr>
          <w:rFonts w:ascii="inherit" w:eastAsia="Times New Roman" w:hAnsi="inherit" w:cs="Arial"/>
          <w:color w:val="707078"/>
        </w:rPr>
      </w:pPr>
      <w:proofErr w:type="spellStart"/>
      <w:r w:rsidRPr="00901AF3">
        <w:rPr>
          <w:rFonts w:ascii="inherit" w:eastAsia="Times New Roman" w:hAnsi="inherit" w:cs="Arial"/>
          <w:color w:val="707078"/>
        </w:rPr>
        <w:t>Chitapanarux</w:t>
      </w:r>
      <w:proofErr w:type="spellEnd"/>
      <w:r w:rsidRPr="00901AF3">
        <w:rPr>
          <w:rFonts w:ascii="inherit" w:eastAsia="Times New Roman" w:hAnsi="inherit" w:cs="Arial"/>
          <w:color w:val="707078"/>
        </w:rPr>
        <w:t xml:space="preserve"> T, </w:t>
      </w:r>
      <w:proofErr w:type="spellStart"/>
      <w:r w:rsidRPr="00901AF3">
        <w:rPr>
          <w:rFonts w:ascii="inherit" w:eastAsia="Times New Roman" w:hAnsi="inherit" w:cs="Arial"/>
          <w:color w:val="707078"/>
        </w:rPr>
        <w:t>Tienboon</w:t>
      </w:r>
      <w:proofErr w:type="spellEnd"/>
      <w:r w:rsidRPr="00901AF3">
        <w:rPr>
          <w:rFonts w:ascii="inherit" w:eastAsia="Times New Roman" w:hAnsi="inherit" w:cs="Arial"/>
          <w:color w:val="707078"/>
        </w:rPr>
        <w:t xml:space="preserve"> P, </w:t>
      </w:r>
      <w:proofErr w:type="spellStart"/>
      <w:r w:rsidRPr="00901AF3">
        <w:rPr>
          <w:rFonts w:ascii="inherit" w:eastAsia="Times New Roman" w:hAnsi="inherit" w:cs="Arial"/>
          <w:color w:val="707078"/>
        </w:rPr>
        <w:t>Pojchamarnwiputh</w:t>
      </w:r>
      <w:proofErr w:type="spellEnd"/>
      <w:r w:rsidRPr="00901AF3">
        <w:rPr>
          <w:rFonts w:ascii="inherit" w:eastAsia="Times New Roman" w:hAnsi="inherit" w:cs="Arial"/>
          <w:color w:val="707078"/>
        </w:rPr>
        <w:t xml:space="preserve"> S, </w:t>
      </w:r>
      <w:proofErr w:type="spellStart"/>
      <w:r w:rsidRPr="00901AF3">
        <w:rPr>
          <w:rFonts w:ascii="inherit" w:eastAsia="Times New Roman" w:hAnsi="inherit" w:cs="Arial"/>
          <w:color w:val="707078"/>
        </w:rPr>
        <w:t>Leelarungrayub</w:t>
      </w:r>
      <w:proofErr w:type="spellEnd"/>
      <w:r w:rsidRPr="00901AF3">
        <w:rPr>
          <w:rFonts w:ascii="inherit" w:eastAsia="Times New Roman" w:hAnsi="inherit" w:cs="Arial"/>
          <w:color w:val="707078"/>
        </w:rPr>
        <w:t xml:space="preserve"> D. Open-labeled pilot study of cysteine-rich whey protein isolate supplementation for nonalcoholic steatohepatitis patients. J Gastroenterol Hepatol. 24(6):1045-50, Jun 2009.</w:t>
      </w:r>
    </w:p>
    <w:p w14:paraId="416E23CE" w14:textId="77777777" w:rsidR="00901AF3" w:rsidRPr="00901AF3" w:rsidRDefault="00901AF3" w:rsidP="00901AF3">
      <w:pPr>
        <w:numPr>
          <w:ilvl w:val="0"/>
          <w:numId w:val="2"/>
        </w:numPr>
        <w:spacing w:before="24"/>
        <w:textAlignment w:val="baseline"/>
        <w:rPr>
          <w:rFonts w:ascii="inherit" w:eastAsia="Times New Roman" w:hAnsi="inherit" w:cs="Arial"/>
          <w:color w:val="707078"/>
        </w:rPr>
      </w:pPr>
      <w:r w:rsidRPr="00901AF3">
        <w:rPr>
          <w:rFonts w:ascii="inherit" w:eastAsia="Times New Roman" w:hAnsi="inherit" w:cs="Arial"/>
          <w:color w:val="707078"/>
        </w:rPr>
        <w:t xml:space="preserve">Karelis AD, Messier V, </w:t>
      </w:r>
      <w:proofErr w:type="spellStart"/>
      <w:r w:rsidRPr="00901AF3">
        <w:rPr>
          <w:rFonts w:ascii="inherit" w:eastAsia="Times New Roman" w:hAnsi="inherit" w:cs="Arial"/>
          <w:color w:val="707078"/>
        </w:rPr>
        <w:t>Suppère</w:t>
      </w:r>
      <w:proofErr w:type="spellEnd"/>
      <w:r w:rsidRPr="00901AF3">
        <w:rPr>
          <w:rFonts w:ascii="inherit" w:eastAsia="Times New Roman" w:hAnsi="inherit" w:cs="Arial"/>
          <w:color w:val="707078"/>
        </w:rPr>
        <w:t xml:space="preserve"> C, Briand P, </w:t>
      </w:r>
      <w:proofErr w:type="spellStart"/>
      <w:r w:rsidRPr="00901AF3">
        <w:rPr>
          <w:rFonts w:ascii="inherit" w:eastAsia="Times New Roman" w:hAnsi="inherit" w:cs="Arial"/>
          <w:color w:val="707078"/>
        </w:rPr>
        <w:t>Rabasa-Lhoret</w:t>
      </w:r>
      <w:proofErr w:type="spellEnd"/>
      <w:r w:rsidRPr="00901AF3">
        <w:rPr>
          <w:rFonts w:ascii="inherit" w:eastAsia="Times New Roman" w:hAnsi="inherit" w:cs="Arial"/>
          <w:color w:val="707078"/>
        </w:rPr>
        <w:t xml:space="preserve"> R. Effect of cysteine-rich whey protein (</w:t>
      </w:r>
      <w:proofErr w:type="spellStart"/>
      <w:r w:rsidRPr="00901AF3">
        <w:rPr>
          <w:rFonts w:ascii="inherit" w:eastAsia="Times New Roman" w:hAnsi="inherit" w:cs="Arial"/>
          <w:color w:val="707078"/>
        </w:rPr>
        <w:t>immunocal</w:t>
      </w:r>
      <w:proofErr w:type="spellEnd"/>
      <w:r w:rsidRPr="00901AF3">
        <w:rPr>
          <w:rFonts w:ascii="inherit" w:eastAsia="Times New Roman" w:hAnsi="inherit" w:cs="Arial"/>
          <w:color w:val="707078"/>
        </w:rPr>
        <w:t xml:space="preserve">®) supplementation in combination with resistance training on muscle strength and lean body mass in non-frail elderly subjects: a randomized, double-blind controlled study. J </w:t>
      </w:r>
      <w:proofErr w:type="spellStart"/>
      <w:r w:rsidRPr="00901AF3">
        <w:rPr>
          <w:rFonts w:ascii="inherit" w:eastAsia="Times New Roman" w:hAnsi="inherit" w:cs="Arial"/>
          <w:color w:val="707078"/>
        </w:rPr>
        <w:t>Nutr</w:t>
      </w:r>
      <w:proofErr w:type="spellEnd"/>
      <w:r w:rsidRPr="00901AF3">
        <w:rPr>
          <w:rFonts w:ascii="inherit" w:eastAsia="Times New Roman" w:hAnsi="inherit" w:cs="Arial"/>
          <w:color w:val="707078"/>
        </w:rPr>
        <w:t xml:space="preserve"> Health Aging. 19(5):531-6, May 2015.</w:t>
      </w:r>
    </w:p>
    <w:p w14:paraId="3960614A" w14:textId="77777777" w:rsidR="00901AF3" w:rsidRPr="00901AF3" w:rsidRDefault="00901AF3" w:rsidP="00901AF3">
      <w:pPr>
        <w:spacing w:before="144" w:line="264" w:lineRule="atLeast"/>
        <w:textAlignment w:val="baseline"/>
        <w:rPr>
          <w:rFonts w:ascii="inherit" w:eastAsia="Times New Roman" w:hAnsi="inherit" w:cs="Arial"/>
          <w:color w:val="707078"/>
        </w:rPr>
      </w:pPr>
      <w:bookmarkStart w:id="33" w:name="section55"/>
      <w:bookmarkStart w:id="34" w:name="section-11"/>
      <w:bookmarkEnd w:id="33"/>
      <w:bookmarkEnd w:id="34"/>
      <w:r w:rsidRPr="00901AF3">
        <w:rPr>
          <w:rFonts w:ascii="inherit" w:eastAsia="Times New Roman" w:hAnsi="inherit" w:cs="Arial"/>
          <w:color w:val="707078"/>
        </w:rPr>
        <w:t xml:space="preserve">Manufactured by </w:t>
      </w:r>
      <w:proofErr w:type="spellStart"/>
      <w:r w:rsidRPr="00901AF3">
        <w:rPr>
          <w:rFonts w:ascii="inherit" w:eastAsia="Times New Roman" w:hAnsi="inherit" w:cs="Arial"/>
          <w:color w:val="707078"/>
        </w:rPr>
        <w:t>Immunotec</w:t>
      </w:r>
      <w:proofErr w:type="spellEnd"/>
      <w:r w:rsidRPr="00901AF3">
        <w:rPr>
          <w:rFonts w:ascii="inherit" w:eastAsia="Times New Roman" w:hAnsi="inherit" w:cs="Arial"/>
          <w:color w:val="707078"/>
        </w:rPr>
        <w:t xml:space="preserve"> Inc.</w:t>
      </w:r>
    </w:p>
    <w:p w14:paraId="134289B4" w14:textId="0FF4D38E" w:rsidR="00901AF3" w:rsidRDefault="00901AF3" w:rsidP="00901AF3">
      <w:pPr>
        <w:spacing w:line="264" w:lineRule="atLeast"/>
        <w:textAlignment w:val="baseline"/>
        <w:rPr>
          <w:rFonts w:ascii="inherit" w:eastAsia="Times New Roman" w:hAnsi="inherit" w:cs="Arial"/>
          <w:color w:val="707078"/>
        </w:rPr>
      </w:pPr>
      <w:hyperlink r:id="rId5" w:history="1">
        <w:r w:rsidRPr="00901AF3">
          <w:rPr>
            <w:rFonts w:ascii="inherit" w:eastAsia="Times New Roman" w:hAnsi="inherit" w:cs="Arial"/>
            <w:color w:val="0054FF"/>
            <w:u w:val="single"/>
            <w:bdr w:val="none" w:sz="0" w:space="0" w:color="auto" w:frame="1"/>
          </w:rPr>
          <w:t>www.immunocal.com</w:t>
        </w:r>
      </w:hyperlink>
    </w:p>
    <w:p w14:paraId="3E64B757" w14:textId="38DA6CC2" w:rsidR="00901AF3" w:rsidRDefault="00901AF3" w:rsidP="00901AF3">
      <w:pPr>
        <w:spacing w:line="264" w:lineRule="atLeast"/>
        <w:textAlignment w:val="baseline"/>
        <w:rPr>
          <w:rFonts w:ascii="inherit" w:eastAsia="Times New Roman" w:hAnsi="inherit" w:cs="Arial"/>
          <w:color w:val="707078"/>
        </w:rPr>
      </w:pPr>
    </w:p>
    <w:p w14:paraId="2E8B1463" w14:textId="7645A524" w:rsidR="00901AF3" w:rsidRPr="00901AF3" w:rsidRDefault="00901AF3" w:rsidP="00901AF3">
      <w:pPr>
        <w:spacing w:line="264" w:lineRule="atLeast"/>
        <w:textAlignment w:val="baseline"/>
        <w:rPr>
          <w:rFonts w:ascii="inherit" w:eastAsia="Times New Roman" w:hAnsi="inherit" w:cs="Arial"/>
          <w:color w:val="707078"/>
        </w:rPr>
      </w:pPr>
    </w:p>
    <w:p w14:paraId="394D4CFF" w14:textId="77777777" w:rsidR="00901AF3" w:rsidRDefault="00901AF3"/>
    <w:sectPr w:rsidR="00901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9D3"/>
    <w:multiLevelType w:val="multilevel"/>
    <w:tmpl w:val="3D08E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3235B"/>
    <w:multiLevelType w:val="multilevel"/>
    <w:tmpl w:val="0354F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7851003">
    <w:abstractNumId w:val="0"/>
  </w:num>
  <w:num w:numId="2" w16cid:durableId="1435054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F3"/>
    <w:rsid w:val="0090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2100C1"/>
  <w15:chartTrackingRefBased/>
  <w15:docId w15:val="{E356D05F-D017-9346-BE9B-E47FBB3A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1AF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01AF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A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01AF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901AF3"/>
  </w:style>
  <w:style w:type="paragraph" w:styleId="NormalWeb">
    <w:name w:val="Normal (Web)"/>
    <w:basedOn w:val="Normal"/>
    <w:uiPriority w:val="99"/>
    <w:semiHidden/>
    <w:unhideWhenUsed/>
    <w:rsid w:val="00901AF3"/>
    <w:pPr>
      <w:spacing w:before="100" w:beforeAutospacing="1" w:after="100" w:afterAutospacing="1"/>
    </w:pPr>
    <w:rPr>
      <w:rFonts w:ascii="Times New Roman" w:eastAsia="Times New Roman" w:hAnsi="Times New Roman" w:cs="Times New Roman"/>
    </w:rPr>
  </w:style>
  <w:style w:type="paragraph" w:customStyle="1" w:styleId="first">
    <w:name w:val="first"/>
    <w:basedOn w:val="Normal"/>
    <w:rsid w:val="00901AF3"/>
    <w:pPr>
      <w:spacing w:before="100" w:beforeAutospacing="1" w:after="100" w:afterAutospacing="1"/>
    </w:pPr>
    <w:rPr>
      <w:rFonts w:ascii="Times New Roman" w:eastAsia="Times New Roman" w:hAnsi="Times New Roman" w:cs="Times New Roman"/>
    </w:rPr>
  </w:style>
  <w:style w:type="character" w:customStyle="1" w:styleId="italics">
    <w:name w:val="italics"/>
    <w:basedOn w:val="DefaultParagraphFont"/>
    <w:rsid w:val="00901AF3"/>
  </w:style>
  <w:style w:type="character" w:styleId="Hyperlink">
    <w:name w:val="Hyperlink"/>
    <w:basedOn w:val="DefaultParagraphFont"/>
    <w:uiPriority w:val="99"/>
    <w:semiHidden/>
    <w:unhideWhenUsed/>
    <w:rsid w:val="00901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024875">
      <w:bodyDiv w:val="1"/>
      <w:marLeft w:val="0"/>
      <w:marRight w:val="0"/>
      <w:marTop w:val="0"/>
      <w:marBottom w:val="0"/>
      <w:divBdr>
        <w:top w:val="none" w:sz="0" w:space="0" w:color="auto"/>
        <w:left w:val="none" w:sz="0" w:space="0" w:color="auto"/>
        <w:bottom w:val="none" w:sz="0" w:space="0" w:color="auto"/>
        <w:right w:val="none" w:sz="0" w:space="0" w:color="auto"/>
      </w:divBdr>
      <w:divsChild>
        <w:div w:id="786123339">
          <w:marLeft w:val="0"/>
          <w:marRight w:val="0"/>
          <w:marTop w:val="0"/>
          <w:marBottom w:val="0"/>
          <w:divBdr>
            <w:top w:val="none" w:sz="0" w:space="0" w:color="auto"/>
            <w:left w:val="none" w:sz="0" w:space="0" w:color="auto"/>
            <w:bottom w:val="none" w:sz="0" w:space="0" w:color="auto"/>
            <w:right w:val="none" w:sz="0" w:space="0" w:color="auto"/>
          </w:divBdr>
        </w:div>
        <w:div w:id="820466956">
          <w:marLeft w:val="0"/>
          <w:marRight w:val="0"/>
          <w:marTop w:val="0"/>
          <w:marBottom w:val="0"/>
          <w:divBdr>
            <w:top w:val="none" w:sz="0" w:space="0" w:color="auto"/>
            <w:left w:val="none" w:sz="0" w:space="0" w:color="auto"/>
            <w:bottom w:val="none" w:sz="0" w:space="0" w:color="auto"/>
            <w:right w:val="none" w:sz="0" w:space="0" w:color="auto"/>
          </w:divBdr>
        </w:div>
        <w:div w:id="1069038582">
          <w:marLeft w:val="0"/>
          <w:marRight w:val="0"/>
          <w:marTop w:val="0"/>
          <w:marBottom w:val="0"/>
          <w:divBdr>
            <w:top w:val="none" w:sz="0" w:space="0" w:color="auto"/>
            <w:left w:val="none" w:sz="0" w:space="0" w:color="auto"/>
            <w:bottom w:val="none" w:sz="0" w:space="0" w:color="auto"/>
            <w:right w:val="none" w:sz="0" w:space="0" w:color="auto"/>
          </w:divBdr>
        </w:div>
        <w:div w:id="1664091362">
          <w:marLeft w:val="0"/>
          <w:marRight w:val="0"/>
          <w:marTop w:val="0"/>
          <w:marBottom w:val="0"/>
          <w:divBdr>
            <w:top w:val="none" w:sz="0" w:space="0" w:color="auto"/>
            <w:left w:val="none" w:sz="0" w:space="0" w:color="auto"/>
            <w:bottom w:val="none" w:sz="0" w:space="0" w:color="auto"/>
            <w:right w:val="none" w:sz="0" w:space="0" w:color="auto"/>
          </w:divBdr>
        </w:div>
        <w:div w:id="1540778984">
          <w:marLeft w:val="0"/>
          <w:marRight w:val="0"/>
          <w:marTop w:val="0"/>
          <w:marBottom w:val="0"/>
          <w:divBdr>
            <w:top w:val="none" w:sz="0" w:space="0" w:color="auto"/>
            <w:left w:val="none" w:sz="0" w:space="0" w:color="auto"/>
            <w:bottom w:val="none" w:sz="0" w:space="0" w:color="auto"/>
            <w:right w:val="none" w:sz="0" w:space="0" w:color="auto"/>
          </w:divBdr>
        </w:div>
        <w:div w:id="1148977391">
          <w:marLeft w:val="0"/>
          <w:marRight w:val="0"/>
          <w:marTop w:val="0"/>
          <w:marBottom w:val="0"/>
          <w:divBdr>
            <w:top w:val="none" w:sz="0" w:space="0" w:color="auto"/>
            <w:left w:val="none" w:sz="0" w:space="0" w:color="auto"/>
            <w:bottom w:val="none" w:sz="0" w:space="0" w:color="auto"/>
            <w:right w:val="none" w:sz="0" w:space="0" w:color="auto"/>
          </w:divBdr>
        </w:div>
        <w:div w:id="1808816173">
          <w:marLeft w:val="0"/>
          <w:marRight w:val="0"/>
          <w:marTop w:val="0"/>
          <w:marBottom w:val="0"/>
          <w:divBdr>
            <w:top w:val="none" w:sz="0" w:space="0" w:color="auto"/>
            <w:left w:val="none" w:sz="0" w:space="0" w:color="auto"/>
            <w:bottom w:val="none" w:sz="0" w:space="0" w:color="auto"/>
            <w:right w:val="none" w:sz="0" w:space="0" w:color="auto"/>
          </w:divBdr>
        </w:div>
        <w:div w:id="997155738">
          <w:marLeft w:val="0"/>
          <w:marRight w:val="0"/>
          <w:marTop w:val="0"/>
          <w:marBottom w:val="0"/>
          <w:divBdr>
            <w:top w:val="none" w:sz="0" w:space="0" w:color="auto"/>
            <w:left w:val="none" w:sz="0" w:space="0" w:color="auto"/>
            <w:bottom w:val="none" w:sz="0" w:space="0" w:color="auto"/>
            <w:right w:val="none" w:sz="0" w:space="0" w:color="auto"/>
          </w:divBdr>
          <w:divsChild>
            <w:div w:id="1738163503">
              <w:marLeft w:val="0"/>
              <w:marRight w:val="0"/>
              <w:marTop w:val="0"/>
              <w:marBottom w:val="0"/>
              <w:divBdr>
                <w:top w:val="none" w:sz="0" w:space="0" w:color="auto"/>
                <w:left w:val="none" w:sz="0" w:space="0" w:color="auto"/>
                <w:bottom w:val="none" w:sz="0" w:space="0" w:color="auto"/>
                <w:right w:val="none" w:sz="0" w:space="0" w:color="auto"/>
              </w:divBdr>
            </w:div>
          </w:divsChild>
        </w:div>
        <w:div w:id="365448252">
          <w:marLeft w:val="0"/>
          <w:marRight w:val="0"/>
          <w:marTop w:val="0"/>
          <w:marBottom w:val="0"/>
          <w:divBdr>
            <w:top w:val="none" w:sz="0" w:space="0" w:color="auto"/>
            <w:left w:val="none" w:sz="0" w:space="0" w:color="auto"/>
            <w:bottom w:val="none" w:sz="0" w:space="0" w:color="auto"/>
            <w:right w:val="none" w:sz="0" w:space="0" w:color="auto"/>
          </w:divBdr>
          <w:divsChild>
            <w:div w:id="705253522">
              <w:marLeft w:val="0"/>
              <w:marRight w:val="0"/>
              <w:marTop w:val="0"/>
              <w:marBottom w:val="0"/>
              <w:divBdr>
                <w:top w:val="none" w:sz="0" w:space="0" w:color="auto"/>
                <w:left w:val="none" w:sz="0" w:space="0" w:color="auto"/>
                <w:bottom w:val="none" w:sz="0" w:space="0" w:color="auto"/>
                <w:right w:val="none" w:sz="0" w:space="0" w:color="auto"/>
              </w:divBdr>
            </w:div>
          </w:divsChild>
        </w:div>
        <w:div w:id="1935168331">
          <w:marLeft w:val="0"/>
          <w:marRight w:val="0"/>
          <w:marTop w:val="0"/>
          <w:marBottom w:val="0"/>
          <w:divBdr>
            <w:top w:val="none" w:sz="0" w:space="0" w:color="auto"/>
            <w:left w:val="none" w:sz="0" w:space="0" w:color="auto"/>
            <w:bottom w:val="none" w:sz="0" w:space="0" w:color="auto"/>
            <w:right w:val="none" w:sz="0" w:space="0" w:color="auto"/>
          </w:divBdr>
        </w:div>
        <w:div w:id="207452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munoc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1572</Words>
  <Characters>8966</Characters>
  <Application>Microsoft Office Word</Application>
  <DocSecurity>0</DocSecurity>
  <Lines>74</Lines>
  <Paragraphs>21</Paragraphs>
  <ScaleCrop>false</ScaleCrop>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Adams</dc:creator>
  <cp:keywords/>
  <dc:description/>
  <cp:lastModifiedBy>Candice Adams</cp:lastModifiedBy>
  <cp:revision>1</cp:revision>
  <dcterms:created xsi:type="dcterms:W3CDTF">2022-12-14T23:47:00Z</dcterms:created>
  <dcterms:modified xsi:type="dcterms:W3CDTF">2022-12-14T23:48:00Z</dcterms:modified>
</cp:coreProperties>
</file>